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203200</wp:posOffset>
            </wp:positionV>
            <wp:extent cx="786130" cy="789940"/>
            <wp:effectExtent b="0" l="0" r="0" t="0"/>
            <wp:wrapSquare wrapText="bothSides" distB="0" distT="0" distL="114300" distR="114300"/>
            <wp:docPr id="35112398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6130" cy="78994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351123980" name=""/>
                <a:graphic>
                  <a:graphicData uri="http://schemas.microsoft.com/office/word/2010/wordprocessingShape">
                    <wps:wsp>
                      <wps:cNvSpPr/>
                      <wps:cNvPr id="2" name="Shape 2"/>
                      <wps:spPr>
                        <a:xfrm>
                          <a:off x="4031550" y="3341850"/>
                          <a:ext cx="26289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The Judicial Branch and Legal System: SS.7.CG.3.9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Judicial Branch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35112398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384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4" name=""/>
                <a:graphic>
                  <a:graphicData uri="http://schemas.microsoft.com/office/word/2010/wordprocessingShape">
                    <wps:wsp>
                      <wps:cNvSpPr/>
                      <wps:cNvPr id="6" name="Shape 6"/>
                      <wps:spPr>
                        <a:xfrm>
                          <a:off x="4076000" y="3437100"/>
                          <a:ext cx="2540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35112398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351123985" name="image1.png"/>
            <a:graphic>
              <a:graphicData uri="http://schemas.openxmlformats.org/drawingml/2006/picture">
                <pic:pic>
                  <pic:nvPicPr>
                    <pic:cNvPr descr="A picture containing sketch, black, design, black and white&#10;&#10;Description automatically generated" id="0" name="image1.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6900"/>
                <wp:effectExtent b="0" l="0" r="0" t="0"/>
                <wp:wrapNone/>
                <wp:docPr id="351123981" name=""/>
                <a:graphic>
                  <a:graphicData uri="http://schemas.microsoft.com/office/word/2010/wordprocessingShape">
                    <wps:wsp>
                      <wps:cNvSpPr/>
                      <wps:cNvPr id="3" name="Shape 3"/>
                      <wps:spPr>
                        <a:xfrm>
                          <a:off x="1859850" y="3487900"/>
                          <a:ext cx="6972300" cy="5842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37.00000286102295"/>
                              <w:ind w:left="0" w:right="482.99999237060547"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SS.7.CG.3.9 Benchmark Clarification 3</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recognize that the powers and jurisdiction of the state and federal courts are derived from their respective constitutions.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6900"/>
                <wp:effectExtent b="0" l="0" r="0" t="0"/>
                <wp:wrapNone/>
                <wp:docPr id="35112398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85000" cy="596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2"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92" w:line="242" w:lineRule="auto"/>
        <w:ind w:right="96"/>
        <w:rPr>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45" w:line="237" w:lineRule="auto"/>
        <w:ind w:right="483"/>
        <w:rPr>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145" w:line="237" w:lineRule="auto"/>
        <w:ind w:right="483"/>
        <w:rPr>
          <w:color w:val="000000"/>
          <w:sz w:val="24"/>
          <w:szCs w:val="24"/>
        </w:rPr>
      </w:pPr>
      <w:r w:rsidDel="00000000" w:rsidR="00000000" w:rsidRPr="00000000">
        <w:rPr>
          <w:color w:val="000000"/>
          <w:sz w:val="24"/>
          <w:szCs w:val="24"/>
          <w:rtl w:val="0"/>
        </w:rPr>
        <w:t xml:space="preserve">The powers and </w:t>
      </w:r>
      <w:r w:rsidDel="00000000" w:rsidR="00000000" w:rsidRPr="00000000">
        <w:rPr>
          <w:b w:val="1"/>
          <w:color w:val="000000"/>
          <w:sz w:val="24"/>
          <w:szCs w:val="24"/>
          <w:rtl w:val="0"/>
        </w:rPr>
        <w:t xml:space="preserve">jurisdiction </w:t>
      </w:r>
      <w:r w:rsidDel="00000000" w:rsidR="00000000" w:rsidRPr="00000000">
        <w:rPr>
          <w:color w:val="000000"/>
          <w:sz w:val="24"/>
          <w:szCs w:val="24"/>
          <w:rtl w:val="0"/>
        </w:rPr>
        <w:t xml:space="preserve">of the Florida court system </w:t>
      </w:r>
      <w:r w:rsidDel="00000000" w:rsidR="00000000" w:rsidRPr="00000000">
        <w:rPr>
          <w:sz w:val="24"/>
          <w:szCs w:val="24"/>
          <w:rtl w:val="0"/>
        </w:rPr>
        <w:t xml:space="preserve">are </w:t>
      </w:r>
      <w:r w:rsidDel="00000000" w:rsidR="00000000" w:rsidRPr="00000000">
        <w:rPr>
          <w:color w:val="000000"/>
          <w:sz w:val="24"/>
          <w:szCs w:val="24"/>
          <w:rtl w:val="0"/>
        </w:rPr>
        <w:t xml:space="preserve">described in the Florida Constitution. The powers and the jurisdiction of the federal court system are described in the U.S. Constitution.</w:t>
      </w:r>
    </w:p>
    <w:p w:rsidR="00000000" w:rsidDel="00000000" w:rsidP="00000000" w:rsidRDefault="00000000" w:rsidRPr="00000000" w14:paraId="00000008">
      <w:pPr>
        <w:spacing w:after="240" w:before="137" w:lineRule="auto"/>
        <w:ind w:right="483"/>
        <w:rPr>
          <w:sz w:val="24"/>
          <w:szCs w:val="24"/>
        </w:rPr>
      </w:pPr>
      <w:r w:rsidDel="00000000" w:rsidR="00000000" w:rsidRPr="00000000">
        <w:rPr>
          <w:sz w:val="24"/>
          <w:szCs w:val="24"/>
          <w:rtl w:val="0"/>
        </w:rPr>
        <w:t xml:space="preserve">The Florida Constitution gives its courts the jurisdiction to hear certain kinds of cases at the different levels of the state court system. </w:t>
      </w:r>
      <w:r w:rsidDel="00000000" w:rsidR="00000000" w:rsidRPr="00000000">
        <w:rPr>
          <w:b w:val="1"/>
          <w:sz w:val="24"/>
          <w:szCs w:val="24"/>
          <w:rtl w:val="0"/>
        </w:rPr>
        <w:t xml:space="preserve">County and circuit courts </w:t>
      </w:r>
      <w:r w:rsidDel="00000000" w:rsidR="00000000" w:rsidRPr="00000000">
        <w:rPr>
          <w:sz w:val="24"/>
          <w:szCs w:val="24"/>
          <w:rtl w:val="0"/>
        </w:rPr>
        <w:t xml:space="preserve">have </w:t>
      </w:r>
      <w:r w:rsidDel="00000000" w:rsidR="00000000" w:rsidRPr="00000000">
        <w:rPr>
          <w:b w:val="1"/>
          <w:sz w:val="24"/>
          <w:szCs w:val="24"/>
          <w:rtl w:val="0"/>
        </w:rPr>
        <w:t xml:space="preserve">original jurisdiction </w:t>
      </w:r>
      <w:r w:rsidDel="00000000" w:rsidR="00000000" w:rsidRPr="00000000">
        <w:rPr>
          <w:sz w:val="24"/>
          <w:szCs w:val="24"/>
          <w:rtl w:val="0"/>
        </w:rPr>
        <w:t xml:space="preserve">for certain cases. The </w:t>
      </w:r>
      <w:r w:rsidDel="00000000" w:rsidR="00000000" w:rsidRPr="00000000">
        <w:rPr>
          <w:b w:val="1"/>
          <w:sz w:val="24"/>
          <w:szCs w:val="24"/>
          <w:rtl w:val="0"/>
        </w:rPr>
        <w:t xml:space="preserve">Florida District Court of Appeals</w:t>
      </w:r>
      <w:r w:rsidDel="00000000" w:rsidR="00000000" w:rsidRPr="00000000">
        <w:rPr>
          <w:sz w:val="24"/>
          <w:szCs w:val="24"/>
          <w:rtl w:val="0"/>
        </w:rPr>
        <w:t xml:space="preserve"> has </w:t>
      </w:r>
      <w:r w:rsidDel="00000000" w:rsidR="00000000" w:rsidRPr="00000000">
        <w:rPr>
          <w:b w:val="1"/>
          <w:sz w:val="24"/>
          <w:szCs w:val="24"/>
          <w:rtl w:val="0"/>
        </w:rPr>
        <w:t xml:space="preserve">appellate jurisdiction</w:t>
      </w:r>
      <w:r w:rsidDel="00000000" w:rsidR="00000000" w:rsidRPr="00000000">
        <w:rPr>
          <w:sz w:val="24"/>
          <w:szCs w:val="24"/>
          <w:rtl w:val="0"/>
        </w:rPr>
        <w:t xml:space="preserve"> because it can review cases that lower courts have already heard.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140" w:lineRule="auto"/>
        <w:ind w:right="483"/>
        <w:rPr>
          <w:color w:val="000000"/>
          <w:sz w:val="24"/>
          <w:szCs w:val="24"/>
        </w:rPr>
      </w:pPr>
      <w:r w:rsidDel="00000000" w:rsidR="00000000" w:rsidRPr="00000000">
        <w:rPr>
          <w:color w:val="000000"/>
          <w:sz w:val="24"/>
          <w:szCs w:val="24"/>
          <w:rtl w:val="0"/>
        </w:rPr>
        <w:t xml:space="preserve">The </w:t>
      </w:r>
      <w:r w:rsidDel="00000000" w:rsidR="00000000" w:rsidRPr="00000000">
        <w:rPr>
          <w:b w:val="1"/>
          <w:color w:val="000000"/>
          <w:sz w:val="24"/>
          <w:szCs w:val="24"/>
          <w:rtl w:val="0"/>
        </w:rPr>
        <w:t xml:space="preserve">Florida Supreme Court </w:t>
      </w:r>
      <w:r w:rsidDel="00000000" w:rsidR="00000000" w:rsidRPr="00000000">
        <w:rPr>
          <w:color w:val="000000"/>
          <w:sz w:val="24"/>
          <w:szCs w:val="24"/>
          <w:rtl w:val="0"/>
        </w:rPr>
        <w:t xml:space="preserve">is the highest court in Florida. It has appellate jurisdiction </w:t>
      </w:r>
      <w:r w:rsidDel="00000000" w:rsidR="00000000" w:rsidRPr="00000000">
        <w:rPr>
          <w:sz w:val="24"/>
          <w:szCs w:val="24"/>
          <w:rtl w:val="0"/>
        </w:rPr>
        <w:t xml:space="preserve">and</w:t>
      </w:r>
      <w:r w:rsidDel="00000000" w:rsidR="00000000" w:rsidRPr="00000000">
        <w:rPr>
          <w:color w:val="000000"/>
          <w:sz w:val="24"/>
          <w:szCs w:val="24"/>
          <w:rtl w:val="0"/>
        </w:rPr>
        <w:t xml:space="preserve"> the power to decide on the constitutionality of Florida laws. The decisions of the Florida Supreme Court are final, but they cannot go against the U.S. Constitution. This means that decisions can be appealed on 14th Amendment equal protection grounds.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before="134" w:lineRule="auto"/>
        <w:rPr>
          <w:color w:val="000000"/>
          <w:sz w:val="24"/>
          <w:szCs w:val="24"/>
        </w:rPr>
      </w:pPr>
      <w:r w:rsidDel="00000000" w:rsidR="00000000" w:rsidRPr="00000000">
        <w:rPr>
          <w:color w:val="000000"/>
          <w:sz w:val="24"/>
          <w:szCs w:val="24"/>
          <w:rtl w:val="0"/>
        </w:rPr>
        <w:t xml:space="preserve">The U. S. Constitution gives the federal courts jurisdiction to hear certain kinds of federal cases. </w:t>
      </w:r>
      <w:r w:rsidDel="00000000" w:rsidR="00000000" w:rsidRPr="00000000">
        <w:rPr>
          <w:b w:val="1"/>
          <w:sz w:val="24"/>
          <w:szCs w:val="24"/>
          <w:rtl w:val="0"/>
        </w:rPr>
        <w:t xml:space="preserve">U.S District Courts </w:t>
      </w:r>
      <w:r w:rsidDel="00000000" w:rsidR="00000000" w:rsidRPr="00000000">
        <w:rPr>
          <w:sz w:val="24"/>
          <w:szCs w:val="24"/>
          <w:rtl w:val="0"/>
        </w:rPr>
        <w:t xml:space="preserve">have original jurisdiction, cases involving the federal government or the</w:t>
      </w:r>
      <w:r w:rsidDel="00000000" w:rsidR="00000000" w:rsidRPr="00000000">
        <w:rPr>
          <w:color w:val="000000"/>
          <w:sz w:val="24"/>
          <w:szCs w:val="24"/>
          <w:rtl w:val="0"/>
        </w:rPr>
        <w:t xml:space="preserve"> U.S. Constitution must begin there. </w:t>
      </w:r>
      <w:r w:rsidDel="00000000" w:rsidR="00000000" w:rsidRPr="00000000">
        <w:rPr>
          <w:sz w:val="24"/>
          <w:szCs w:val="24"/>
          <w:rtl w:val="0"/>
        </w:rPr>
        <w:t xml:space="preserve">The </w:t>
      </w:r>
      <w:r w:rsidDel="00000000" w:rsidR="00000000" w:rsidRPr="00000000">
        <w:rPr>
          <w:b w:val="1"/>
          <w:sz w:val="24"/>
          <w:szCs w:val="24"/>
          <w:rtl w:val="0"/>
        </w:rPr>
        <w:t xml:space="preserve">U.S. Court of Appeals</w:t>
      </w:r>
      <w:r w:rsidDel="00000000" w:rsidR="00000000" w:rsidRPr="00000000">
        <w:rPr>
          <w:sz w:val="24"/>
          <w:szCs w:val="24"/>
          <w:rtl w:val="0"/>
        </w:rPr>
        <w:t xml:space="preserve"> has appellate jurisdiction, meaning they have the power to review cases that the district courts have already heard.</w:t>
      </w:r>
      <w:r w:rsidDel="00000000" w:rsidR="00000000" w:rsidRPr="00000000">
        <w:rPr>
          <w:color w:val="000000"/>
          <w:sz w:val="24"/>
          <w:szCs w:val="24"/>
          <w:rtl w:val="0"/>
        </w:rPr>
        <w:t xml:space="preserve"> The </w:t>
      </w:r>
      <w:r w:rsidDel="00000000" w:rsidR="00000000" w:rsidRPr="00000000">
        <w:rPr>
          <w:b w:val="1"/>
          <w:color w:val="000000"/>
          <w:sz w:val="24"/>
          <w:szCs w:val="24"/>
          <w:rtl w:val="0"/>
        </w:rPr>
        <w:t xml:space="preserve">U.S. Supreme Court </w:t>
      </w:r>
      <w:r w:rsidDel="00000000" w:rsidR="00000000" w:rsidRPr="00000000">
        <w:rPr>
          <w:color w:val="000000"/>
          <w:sz w:val="24"/>
          <w:szCs w:val="24"/>
          <w:rtl w:val="0"/>
        </w:rPr>
        <w:t xml:space="preserve">is the highest court in the nation. It has appellate jurisdiction </w:t>
      </w:r>
      <w:r w:rsidDel="00000000" w:rsidR="00000000" w:rsidRPr="00000000">
        <w:rPr>
          <w:sz w:val="24"/>
          <w:szCs w:val="24"/>
          <w:rtl w:val="0"/>
        </w:rPr>
        <w:t xml:space="preserve">and </w:t>
      </w:r>
      <w:r w:rsidDel="00000000" w:rsidR="00000000" w:rsidRPr="00000000">
        <w:rPr>
          <w:color w:val="000000"/>
          <w:sz w:val="24"/>
          <w:szCs w:val="24"/>
          <w:rtl w:val="0"/>
        </w:rPr>
        <w:t xml:space="preserve">the power to determine the constitutionality of federal and state laws. The decisions of the U.S. Supreme Court are final and may not be appealed.</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7" w:lineRule="auto"/>
        <w:rPr>
          <w:color w:val="000000"/>
          <w:sz w:val="25"/>
          <w:szCs w:val="25"/>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 w:line="276" w:lineRule="auto"/>
        <w:rPr>
          <w:color w:val="000000"/>
          <w:sz w:val="20"/>
          <w:szCs w:val="20"/>
        </w:rPr>
      </w:pPr>
      <w:r w:rsidDel="00000000" w:rsidR="00000000" w:rsidRPr="00000000">
        <w:rPr>
          <w:rtl w:val="0"/>
        </w:rPr>
      </w:r>
    </w:p>
    <w:p w:rsidR="00000000" w:rsidDel="00000000" w:rsidP="00000000" w:rsidRDefault="00000000" w:rsidRPr="00000000" w14:paraId="00000012">
      <w:pPr>
        <w:spacing w:line="276" w:lineRule="auto"/>
        <w:rPr>
          <w:b w:val="1"/>
          <w:sz w:val="20"/>
          <w:szCs w:val="20"/>
        </w:rPr>
      </w:pPr>
      <w:r w:rsidDel="00000000" w:rsidR="00000000" w:rsidRPr="00000000">
        <w:rPr>
          <w:rtl w:val="0"/>
        </w:rPr>
      </w:r>
    </w:p>
    <w:p w:rsidR="00000000" w:rsidDel="00000000" w:rsidP="00000000" w:rsidRDefault="00000000" w:rsidRPr="00000000" w14:paraId="00000013">
      <w:pPr>
        <w:spacing w:line="276" w:lineRule="auto"/>
        <w:rPr>
          <w:b w:val="1"/>
          <w:sz w:val="20"/>
          <w:szCs w:val="20"/>
        </w:rPr>
      </w:pPr>
      <w:r w:rsidDel="00000000" w:rsidR="00000000" w:rsidRPr="00000000">
        <w:rPr>
          <w:rtl w:val="0"/>
        </w:rPr>
      </w:r>
    </w:p>
    <w:p w:rsidR="00000000" w:rsidDel="00000000" w:rsidP="00000000" w:rsidRDefault="00000000" w:rsidRPr="00000000" w14:paraId="00000014">
      <w:pPr>
        <w:spacing w:line="276" w:lineRule="auto"/>
        <w:rPr>
          <w:b w:val="1"/>
          <w:sz w:val="20"/>
          <w:szCs w:val="20"/>
        </w:rPr>
      </w:pPr>
      <w:r w:rsidDel="00000000" w:rsidR="00000000" w:rsidRPr="00000000">
        <w:rPr>
          <w:rtl w:val="0"/>
        </w:rPr>
      </w:r>
    </w:p>
    <w:p w:rsidR="00000000" w:rsidDel="00000000" w:rsidP="00000000" w:rsidRDefault="00000000" w:rsidRPr="00000000" w14:paraId="00000015">
      <w:pPr>
        <w:spacing w:line="276" w:lineRule="auto"/>
        <w:rPr>
          <w:b w:val="1"/>
          <w:sz w:val="20"/>
          <w:szCs w:val="20"/>
        </w:rPr>
      </w:pPr>
      <w:r w:rsidDel="00000000" w:rsidR="00000000" w:rsidRPr="00000000">
        <w:rPr>
          <w:rtl w:val="0"/>
        </w:rPr>
      </w:r>
    </w:p>
    <w:p w:rsidR="00000000" w:rsidDel="00000000" w:rsidP="00000000" w:rsidRDefault="00000000" w:rsidRPr="00000000" w14:paraId="00000016">
      <w:pPr>
        <w:spacing w:line="276" w:lineRule="auto"/>
        <w:rPr>
          <w:b w:val="1"/>
          <w:sz w:val="20"/>
          <w:szCs w:val="20"/>
        </w:rPr>
      </w:pPr>
      <w:r w:rsidDel="00000000" w:rsidR="00000000" w:rsidRPr="00000000">
        <w:rPr>
          <w:rtl w:val="0"/>
        </w:rPr>
      </w:r>
    </w:p>
    <w:p w:rsidR="00000000" w:rsidDel="00000000" w:rsidP="00000000" w:rsidRDefault="00000000" w:rsidRPr="00000000" w14:paraId="00000017">
      <w:pPr>
        <w:spacing w:line="276" w:lineRule="auto"/>
        <w:rPr>
          <w:b w:val="1"/>
          <w:sz w:val="20"/>
          <w:szCs w:val="20"/>
        </w:rPr>
      </w:pPr>
      <w:r w:rsidDel="00000000" w:rsidR="00000000" w:rsidRPr="00000000">
        <w:rPr>
          <w:rtl w:val="0"/>
        </w:rPr>
      </w:r>
    </w:p>
    <w:p w:rsidR="00000000" w:rsidDel="00000000" w:rsidP="00000000" w:rsidRDefault="00000000" w:rsidRPr="00000000" w14:paraId="00000018">
      <w:pPr>
        <w:spacing w:line="276" w:lineRule="auto"/>
        <w:rPr>
          <w:b w:val="1"/>
          <w:sz w:val="20"/>
          <w:szCs w:val="20"/>
        </w:rPr>
      </w:pPr>
      <w:r w:rsidDel="00000000" w:rsidR="00000000" w:rsidRPr="00000000">
        <w:rPr>
          <w:rtl w:val="0"/>
        </w:rPr>
      </w:r>
    </w:p>
    <w:p w:rsidR="00000000" w:rsidDel="00000000" w:rsidP="00000000" w:rsidRDefault="00000000" w:rsidRPr="00000000" w14:paraId="00000019">
      <w:pPr>
        <w:spacing w:line="276" w:lineRule="auto"/>
        <w:rPr>
          <w:b w:val="1"/>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E">
      <w:pPr>
        <w:spacing w:before="92" w:line="242" w:lineRule="auto"/>
        <w:ind w:right="96"/>
        <w:rPr>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7099935" cy="3375025"/>
                <wp:effectExtent b="0" l="0" r="0" t="0"/>
                <wp:wrapTopAndBottom distB="0" distT="0"/>
                <wp:docPr id="351123983" name=""/>
                <a:graphic>
                  <a:graphicData uri="http://schemas.microsoft.com/office/word/2010/wordprocessingShape">
                    <wps:wsp>
                      <wps:cNvSpPr/>
                      <wps:cNvPr id="5" name="Shape 5"/>
                      <wps:spPr>
                        <a:xfrm>
                          <a:off x="1800795" y="2097250"/>
                          <a:ext cx="7090410" cy="3365500"/>
                        </a:xfrm>
                        <a:custGeom>
                          <a:rect b="b" l="l" r="r" t="t"/>
                          <a:pathLst>
                            <a:path extrusionOk="0" h="2749550" w="7080885">
                              <a:moveTo>
                                <a:pt x="0" y="0"/>
                              </a:moveTo>
                              <a:lnTo>
                                <a:pt x="0" y="2749550"/>
                              </a:lnTo>
                              <a:lnTo>
                                <a:pt x="7080885" y="2749550"/>
                              </a:lnTo>
                              <a:lnTo>
                                <a:pt x="7080885"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u w:val="single"/>
                                <w:vertAlign w:val="baseline"/>
                              </w:rPr>
                              <w:t xml:space="preserve">appellate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to hear appeals of cases that have been tried in lower courts</w:t>
                            </w:r>
                          </w:p>
                          <w:p w:rsidR="00000000" w:rsidDel="00000000" w:rsidP="00000000" w:rsidRDefault="00000000" w:rsidRPr="00000000">
                            <w:pPr>
                              <w:spacing w:after="0" w:before="101.00000381469727" w:line="275.9999942779541"/>
                              <w:ind w:left="143.00000190734863" w:right="81.00000381469727"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circuit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court for a defined region of a state (usually including several counties) that has specific divisions and hears cases involving more serious crimes (felonies) and civil cases involving large amounts of money (more than $1000)</w:t>
                            </w:r>
                          </w:p>
                          <w:p w:rsidR="00000000" w:rsidDel="00000000" w:rsidP="00000000" w:rsidRDefault="00000000" w:rsidRPr="00000000">
                            <w:pPr>
                              <w:spacing w:after="0" w:before="90" w:line="275.9999942779541"/>
                              <w:ind w:left="143.00000190734863" w:right="81.00000381469727"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county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court that hears both civil and criminal cases involving less serious crimes or minor issues for one specific county</w:t>
                            </w:r>
                          </w:p>
                          <w:p w:rsidR="00000000" w:rsidDel="00000000" w:rsidP="00000000" w:rsidRDefault="00000000" w:rsidRPr="00000000">
                            <w:pPr>
                              <w:spacing w:after="0" w:before="96.00000381469727"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Florida District Court of Appeals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an appellate court in the state court system that reviews decisions made by the lower trial courts</w:t>
                            </w:r>
                          </w:p>
                          <w:p w:rsidR="00000000" w:rsidDel="00000000" w:rsidP="00000000" w:rsidRDefault="00000000" w:rsidRPr="00000000">
                            <w:pPr>
                              <w:spacing w:after="0" w:before="96.00000381469727"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u w:val="single"/>
                                <w:vertAlign w:val="baseline"/>
                              </w:rPr>
                              <w:t xml:space="preserve">Florida Supreme Court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highest court in Florida</w:t>
                            </w:r>
                          </w:p>
                          <w:p w:rsidR="00000000" w:rsidDel="00000000" w:rsidP="00000000" w:rsidRDefault="00000000" w:rsidRPr="00000000">
                            <w:pPr>
                              <w:spacing w:after="0" w:before="106.00000381469727"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u w:val="single"/>
                                <w:vertAlign w:val="baseline"/>
                              </w:rPr>
                              <w:t xml:space="preserve">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right and power for courts to hear a case, interpret and apply the law</w:t>
                            </w:r>
                          </w:p>
                          <w:p w:rsidR="00000000" w:rsidDel="00000000" w:rsidP="00000000" w:rsidRDefault="00000000" w:rsidRPr="00000000">
                            <w:pPr>
                              <w:spacing w:after="0" w:before="10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u w:val="single"/>
                                <w:vertAlign w:val="baseline"/>
                              </w:rPr>
                              <w:t xml:space="preserve">original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of a court to be the first to hear a case on a specific topic</w:t>
                            </w:r>
                          </w:p>
                          <w:p w:rsidR="00000000" w:rsidDel="00000000" w:rsidP="00000000" w:rsidRDefault="00000000" w:rsidRPr="00000000">
                            <w:pPr>
                              <w:spacing w:after="0" w:before="105" w:line="275.9999942779541"/>
                              <w:ind w:left="143.00000190734863"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U.S. Circuit Court of Appeals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courts where parties who are dissatisfied with the judgment of a U.S. District court may take their case</w:t>
                            </w:r>
                          </w:p>
                          <w:p w:rsidR="00000000" w:rsidDel="00000000" w:rsidP="00000000" w:rsidRDefault="00000000" w:rsidRPr="00000000">
                            <w:pPr>
                              <w:spacing w:after="0" w:before="85" w:line="275.9999942779541"/>
                              <w:ind w:left="143.00000190734863" w:right="81.00000381469727"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U.S. District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courts where most federal cases begin, the U.S. District Courts are courts of original jurisdiction and hear civil and criminal cases</w:t>
                            </w:r>
                          </w:p>
                          <w:p w:rsidR="00000000" w:rsidDel="00000000" w:rsidP="00000000" w:rsidRDefault="00000000" w:rsidRPr="00000000">
                            <w:pPr>
                              <w:spacing w:after="0" w:before="9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u w:val="single"/>
                                <w:vertAlign w:val="baseline"/>
                              </w:rPr>
                              <w:t xml:space="preserve">U.S. Supreme Court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highest court of the United States; it sits at the top of the federal court system</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152400</wp:posOffset>
                </wp:positionV>
                <wp:extent cx="7099935" cy="3375025"/>
                <wp:effectExtent b="0" l="0" r="0" t="0"/>
                <wp:wrapTopAndBottom distB="0" distT="0"/>
                <wp:docPr id="35112398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7099935" cy="3375025"/>
                        </a:xfrm>
                        <a:prstGeom prst="rect"/>
                        <a:ln/>
                      </pic:spPr>
                    </pic:pic>
                  </a:graphicData>
                </a:graphic>
              </wp:anchor>
            </w:drawing>
          </mc:Fallback>
        </mc:AlternateContent>
      </w:r>
    </w:p>
    <w:p w:rsidR="00000000" w:rsidDel="00000000" w:rsidP="00000000" w:rsidRDefault="00000000" w:rsidRPr="00000000" w14:paraId="0000001F">
      <w:pPr>
        <w:spacing w:before="92" w:line="242" w:lineRule="auto"/>
        <w:ind w:right="96"/>
        <w:rPr>
          <w:color w:val="000000"/>
          <w:sz w:val="20"/>
          <w:szCs w:val="20"/>
        </w:rPr>
      </w:pPr>
      <w:r w:rsidDel="00000000" w:rsidR="00000000" w:rsidRPr="00000000">
        <w:rPr>
          <w:rtl w:val="0"/>
        </w:rPr>
      </w:r>
    </w:p>
    <w:p w:rsidR="00000000" w:rsidDel="00000000" w:rsidP="00000000" w:rsidRDefault="00000000" w:rsidRPr="00000000" w14:paraId="00000020">
      <w:pPr>
        <w:spacing w:line="276" w:lineRule="auto"/>
        <w:rPr>
          <w:b w:val="1"/>
          <w:sz w:val="20"/>
          <w:szCs w:val="20"/>
        </w:rPr>
      </w:pPr>
      <w:r w:rsidDel="00000000" w:rsidR="00000000" w:rsidRPr="00000000">
        <w:rPr>
          <w:b w:val="1"/>
          <w:sz w:val="20"/>
          <w:szCs w:val="20"/>
          <w:rtl w:val="0"/>
        </w:rPr>
        <w:t xml:space="preserve">Source:</w:t>
      </w:r>
    </w:p>
    <w:p w:rsidR="00000000" w:rsidDel="00000000" w:rsidP="00000000" w:rsidRDefault="00000000" w:rsidRPr="00000000" w14:paraId="00000021">
      <w:pPr>
        <w:spacing w:before="14" w:line="276" w:lineRule="auto"/>
        <w:rPr>
          <w:sz w:val="20"/>
          <w:szCs w:val="20"/>
        </w:rPr>
      </w:pPr>
      <w:r w:rsidDel="00000000" w:rsidR="00000000" w:rsidRPr="00000000">
        <w:rPr>
          <w:sz w:val="20"/>
          <w:szCs w:val="20"/>
          <w:rtl w:val="0"/>
        </w:rPr>
        <w:t xml:space="preserve">“Florida State’s Court System.” </w:t>
      </w:r>
      <w:r w:rsidDel="00000000" w:rsidR="00000000" w:rsidRPr="00000000">
        <w:rPr>
          <w:i w:val="1"/>
          <w:sz w:val="20"/>
          <w:szCs w:val="20"/>
          <w:rtl w:val="0"/>
        </w:rPr>
        <w:t xml:space="preserve">FloridaSupremeCourt.org. </w:t>
      </w:r>
      <w:r w:rsidDel="00000000" w:rsidR="00000000" w:rsidRPr="00000000">
        <w:rPr>
          <w:sz w:val="20"/>
          <w:szCs w:val="20"/>
          <w:rtl w:val="0"/>
        </w:rPr>
        <w:t xml:space="preserve">Florida Supreme Court, n.d. Web. 11 March 2014.</w:t>
      </w:r>
    </w:p>
    <w:p w:rsidR="00000000" w:rsidDel="00000000" w:rsidP="00000000" w:rsidRDefault="00000000" w:rsidRPr="00000000" w14:paraId="00000022">
      <w:pPr>
        <w:spacing w:before="9" w:line="276" w:lineRule="auto"/>
        <w:rPr>
          <w:sz w:val="20"/>
          <w:szCs w:val="20"/>
        </w:rPr>
      </w:pPr>
      <w:r w:rsidDel="00000000" w:rsidR="00000000" w:rsidRPr="00000000">
        <w:rPr>
          <w:sz w:val="20"/>
          <w:szCs w:val="20"/>
          <w:rtl w:val="0"/>
        </w:rPr>
        <w:t xml:space="preserve">&lt;</w:t>
      </w:r>
      <w:hyperlink r:id="rId14">
        <w:r w:rsidDel="00000000" w:rsidR="00000000" w:rsidRPr="00000000">
          <w:rPr>
            <w:color w:val="0000ff"/>
            <w:sz w:val="20"/>
            <w:szCs w:val="20"/>
            <w:u w:val="single"/>
            <w:rtl w:val="0"/>
          </w:rPr>
          <w:t xml:space="preserve">http://www.floridasupremecourt.org/pub_info/system2.shtml</w:t>
        </w:r>
      </w:hyperlink>
      <w:r w:rsidDel="00000000" w:rsidR="00000000" w:rsidRPr="00000000">
        <w:rPr>
          <w:sz w:val="20"/>
          <w:szCs w:val="20"/>
          <w:rtl w:val="0"/>
        </w:rPr>
        <w:t xml:space="preserve">&gt;</w:t>
      </w:r>
    </w:p>
    <w:p w:rsidR="00000000" w:rsidDel="00000000" w:rsidP="00000000" w:rsidRDefault="00000000" w:rsidRPr="00000000" w14:paraId="00000023">
      <w:pPr>
        <w:spacing w:before="92" w:line="242" w:lineRule="auto"/>
        <w:ind w:right="96"/>
        <w:rPr>
          <w:color w:val="000000"/>
          <w:sz w:val="24"/>
          <w:szCs w:val="24"/>
        </w:rPr>
      </w:pPr>
      <w:r w:rsidDel="00000000" w:rsidR="00000000" w:rsidRPr="00000000">
        <w:rPr>
          <w:rtl w:val="0"/>
        </w:rPr>
      </w:r>
    </w:p>
    <w:sectPr>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06"/>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86" w:right="345"/>
    </w:pPr>
    <w:rPr>
      <w:sz w:val="24"/>
      <w:szCs w:val="24"/>
    </w:rPr>
  </w:style>
  <w:style w:type="paragraph" w:styleId="Normal" w:default="1">
    <w:name w:val="Normal"/>
    <w:qFormat w:val="1"/>
    <w:rsid w:val="00425560"/>
    <w:pPr>
      <w:widowControl w:val="0"/>
    </w:pPr>
    <w:rPr>
      <w:rFonts w:ascii="Arial" w:cs="Arial" w:eastAsia="Arial" w:hAnsi="Arial"/>
      <w:kern w:val="0"/>
      <w:sz w:val="22"/>
      <w:szCs w:val="22"/>
    </w:rPr>
  </w:style>
  <w:style w:type="paragraph" w:styleId="Heading1">
    <w:name w:val="heading 1"/>
    <w:basedOn w:val="Normal"/>
    <w:link w:val="Heading1Char"/>
    <w:uiPriority w:val="9"/>
    <w:qFormat w:val="1"/>
    <w:rsid w:val="00302EBD"/>
    <w:pPr>
      <w:ind w:left="606"/>
      <w:outlineLvl w:val="0"/>
    </w:pPr>
    <w:rPr>
      <w:b w:val="1"/>
      <w:bCs w:val="1"/>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Title">
    <w:name w:val="Title"/>
    <w:basedOn w:val="Normal"/>
    <w:link w:val="TitleChar"/>
    <w:uiPriority w:val="10"/>
    <w:qFormat w:val="1"/>
    <w:rsid w:val="00E061CF"/>
    <w:pPr>
      <w:autoSpaceDE w:val="0"/>
      <w:autoSpaceDN w:val="0"/>
      <w:ind w:left="686" w:right="345"/>
    </w:pPr>
    <w:rPr>
      <w:sz w:val="24"/>
      <w:szCs w:val="24"/>
    </w:rPr>
  </w:style>
  <w:style w:type="character" w:styleId="TitleChar" w:customStyle="1">
    <w:name w:val="Title Char"/>
    <w:basedOn w:val="DefaultParagraphFont"/>
    <w:link w:val="Title"/>
    <w:uiPriority w:val="10"/>
    <w:rsid w:val="00E061CF"/>
    <w:rPr>
      <w:rFonts w:ascii="Arial" w:cs="Arial" w:eastAsia="Arial" w:hAnsi="Arial"/>
      <w:kern w:val="0"/>
    </w:rPr>
  </w:style>
  <w:style w:type="paragraph" w:styleId="BodyText">
    <w:name w:val="Body Text"/>
    <w:basedOn w:val="Normal"/>
    <w:link w:val="BodyTextChar"/>
    <w:uiPriority w:val="1"/>
    <w:qFormat w:val="1"/>
    <w:rsid w:val="00E061CF"/>
    <w:pPr>
      <w:autoSpaceDE w:val="0"/>
      <w:autoSpaceDN w:val="0"/>
    </w:pPr>
    <w:rPr>
      <w:sz w:val="18"/>
      <w:szCs w:val="18"/>
    </w:rPr>
  </w:style>
  <w:style w:type="character" w:styleId="BodyTextChar" w:customStyle="1">
    <w:name w:val="Body Text Char"/>
    <w:basedOn w:val="DefaultParagraphFont"/>
    <w:link w:val="BodyText"/>
    <w:uiPriority w:val="1"/>
    <w:rsid w:val="00E061CF"/>
    <w:rPr>
      <w:rFonts w:ascii="Arial" w:cs="Arial" w:eastAsia="Arial" w:hAnsi="Arial"/>
      <w:kern w:val="0"/>
      <w:sz w:val="18"/>
      <w:szCs w:val="18"/>
    </w:rPr>
  </w:style>
  <w:style w:type="character" w:styleId="Heading1Char" w:customStyle="1">
    <w:name w:val="Heading 1 Char"/>
    <w:basedOn w:val="DefaultParagraphFont"/>
    <w:link w:val="Heading1"/>
    <w:uiPriority w:val="9"/>
    <w:rsid w:val="00302EBD"/>
    <w:rPr>
      <w:rFonts w:ascii="Arial" w:cs="Arial" w:eastAsia="Arial" w:hAnsi="Arial"/>
      <w:b w:val="1"/>
      <w:bCs w:val="1"/>
      <w:kern w:val="0"/>
      <w:u w:color="000000"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yperlink" Target="http://www.floridasupremecourt.org/pub_info/system2.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uOz/OcwWvrth5mIi5jPo/NVuew==">CgMxLjA4AHIhMU9WZlJNcFNVWDViOEdyTkdWZldIdnEtME84bFJXeGtp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2023-06-28T21:45:00Z</dcterms:created>
  <dc:creator>Alison Cavicchi</dc:creator>
</cp:coreProperties>
</file>