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00D3D42" w:rsidR="005C4ABE" w:rsidRDefault="00DF7AA6">
      <w:r>
        <w:rPr>
          <w:noProof/>
        </w:rPr>
        <w:drawing>
          <wp:anchor distT="0" distB="0" distL="114300" distR="114300" simplePos="0" relativeHeight="251661312" behindDoc="0" locked="0" layoutInCell="1" allowOverlap="1" wp14:anchorId="01C9A56A" wp14:editId="00DE0E9A">
            <wp:simplePos x="0" y="0"/>
            <wp:positionH relativeFrom="margin">
              <wp:posOffset>5715</wp:posOffset>
            </wp:positionH>
            <wp:positionV relativeFrom="margin">
              <wp:posOffset>203200</wp:posOffset>
            </wp:positionV>
            <wp:extent cx="78613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89940"/>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rPr>
        <mc:AlternateContent>
          <mc:Choice Requires="wps">
            <w:drawing>
              <wp:anchor distT="0" distB="0" distL="114300" distR="114300" simplePos="0" relativeHeight="251659264" behindDoc="0" locked="0" layoutInCell="1" allowOverlap="1" wp14:anchorId="77ECD896" wp14:editId="46F3EF5B">
                <wp:simplePos x="0" y="0"/>
                <wp:positionH relativeFrom="column">
                  <wp:posOffset>876300</wp:posOffset>
                </wp:positionH>
                <wp:positionV relativeFrom="paragraph">
                  <wp:posOffset>165100</wp:posOffset>
                </wp:positionV>
                <wp:extent cx="2692400" cy="990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92400"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61E2DA33" w:rsidR="00425560" w:rsidRPr="006D5C7D" w:rsidRDefault="00DF7AA6"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xml:space="preserve"> SS.7.CG.</w:t>
                            </w:r>
                            <w:r w:rsidR="00C0407B">
                              <w:rPr>
                                <w:i/>
                                <w:color w:val="323E4F" w:themeColor="text2" w:themeShade="BF"/>
                                <w:sz w:val="24"/>
                                <w:szCs w:val="24"/>
                              </w:rPr>
                              <w:t>3.</w:t>
                            </w:r>
                            <w:r w:rsidR="00E66F14">
                              <w:rPr>
                                <w:i/>
                                <w:color w:val="323E4F" w:themeColor="text2" w:themeShade="BF"/>
                                <w:sz w:val="24"/>
                                <w:szCs w:val="24"/>
                              </w:rPr>
                              <w:t>11</w:t>
                            </w:r>
                          </w:p>
                          <w:p w14:paraId="08946024" w14:textId="0CBC6DE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r w:rsidR="00DF7AA6">
                              <w:rPr>
                                <w:b/>
                                <w:i/>
                                <w:color w:val="323E4F" w:themeColor="text2" w:themeShade="BF"/>
                                <w:sz w:val="24"/>
                                <w:szCs w:val="24"/>
                              </w:rPr>
                              <w:t xml:space="preserve"> (Marbury v. Madison)</w:t>
                            </w:r>
                          </w:p>
                          <w:p w14:paraId="3F38EE4A" w14:textId="47F5A84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14E82">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13pt;width:21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" filled="f" stroked="f">
                <v:textbox>
                  <w:txbxContent>
                    <w:p w14:paraId="25D8C899" w14:textId="61E2DA33" w:rsidR="00425560" w:rsidRPr="006D5C7D" w:rsidRDefault="00DF7AA6"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xml:space="preserve"> SS.7.CG.</w:t>
                      </w:r>
                      <w:r w:rsidR="00C0407B">
                        <w:rPr>
                          <w:i/>
                          <w:color w:val="323E4F" w:themeColor="text2" w:themeShade="BF"/>
                          <w:sz w:val="24"/>
                          <w:szCs w:val="24"/>
                        </w:rPr>
                        <w:t>3.</w:t>
                      </w:r>
                      <w:r w:rsidR="00E66F14">
                        <w:rPr>
                          <w:i/>
                          <w:color w:val="323E4F" w:themeColor="text2" w:themeShade="BF"/>
                          <w:sz w:val="24"/>
                          <w:szCs w:val="24"/>
                        </w:rPr>
                        <w:t>11</w:t>
                      </w:r>
                    </w:p>
                    <w:p w14:paraId="08946024" w14:textId="0CBC6DE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r w:rsidR="00DF7AA6">
                        <w:rPr>
                          <w:b/>
                          <w:i/>
                          <w:color w:val="323E4F" w:themeColor="text2" w:themeShade="BF"/>
                          <w:sz w:val="24"/>
                          <w:szCs w:val="24"/>
                        </w:rPr>
                        <w:t xml:space="preserve"> (Marbury v. Madison)</w:t>
                      </w:r>
                    </w:p>
                    <w:p w14:paraId="3F38EE4A" w14:textId="47F5A84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14E82">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446B53A" w:rsidR="00425560" w:rsidRPr="00425560" w:rsidRDefault="00614E82" w:rsidP="00425560">
      <w:r>
        <w:rPr>
          <w:i/>
          <w:noProof/>
          <w:sz w:val="28"/>
          <w:szCs w:val="28"/>
        </w:rPr>
        <mc:AlternateContent>
          <mc:Choice Requires="wps">
            <w:drawing>
              <wp:anchor distT="0" distB="0" distL="114300" distR="114300" simplePos="0" relativeHeight="251664384" behindDoc="0" locked="0" layoutInCell="1" allowOverlap="1" wp14:anchorId="231F332B" wp14:editId="098C83AC">
                <wp:simplePos x="0" y="0"/>
                <wp:positionH relativeFrom="column">
                  <wp:posOffset>-76200</wp:posOffset>
                </wp:positionH>
                <wp:positionV relativeFrom="paragraph">
                  <wp:posOffset>196215</wp:posOffset>
                </wp:positionV>
                <wp:extent cx="6972300" cy="5334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33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5130E06" w:rsidR="000A4C80" w:rsidRPr="00E66F14" w:rsidRDefault="00614E82" w:rsidP="00614E82">
                            <w:pPr>
                              <w:spacing w:line="242" w:lineRule="auto"/>
                              <w:ind w:right="494"/>
                              <w:rPr>
                                <w:color w:val="000000" w:themeColor="text1"/>
                                <w:sz w:val="24"/>
                                <w:szCs w:val="24"/>
                              </w:rPr>
                            </w:pPr>
                            <w:r w:rsidRPr="00B42E25">
                              <w:rPr>
                                <w:b/>
                                <w:i/>
                                <w:color w:val="000000" w:themeColor="text1"/>
                                <w:sz w:val="24"/>
                                <w:szCs w:val="24"/>
                              </w:rPr>
                              <w:t>SS.7.CG.3.11 Benchmark Clarification 2</w:t>
                            </w:r>
                            <w:r w:rsidRPr="00B42E25">
                              <w:rPr>
                                <w:i/>
                                <w:color w:val="000000" w:themeColor="text1"/>
                                <w:sz w:val="24"/>
                                <w:szCs w:val="24"/>
                              </w:rPr>
                              <w:t xml:space="preserve">: </w:t>
                            </w:r>
                            <w:r w:rsidRPr="00B42E25">
                              <w:rPr>
                                <w:color w:val="000000" w:themeColor="text1"/>
                                <w:sz w:val="24"/>
                                <w:szCs w:val="24"/>
                              </w:rPr>
                              <w:t>Students will use primary sources to assess the significance of each U.S. Supreme Court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" filled="f" strokecolor="black [3213]" strokeweight="1pt">
                <v:textbox>
                  <w:txbxContent>
                    <w:p w14:paraId="24A11C5B" w14:textId="25130E06" w:rsidR="000A4C80" w:rsidRPr="00E66F14" w:rsidRDefault="00614E82" w:rsidP="00614E82">
                      <w:pPr>
                        <w:spacing w:line="242" w:lineRule="auto"/>
                        <w:ind w:right="494"/>
                        <w:rPr>
                          <w:color w:val="000000" w:themeColor="text1"/>
                          <w:sz w:val="24"/>
                          <w:szCs w:val="24"/>
                        </w:rPr>
                      </w:pPr>
                      <w:r w:rsidRPr="00B42E25">
                        <w:rPr>
                          <w:b/>
                          <w:i/>
                          <w:color w:val="000000" w:themeColor="text1"/>
                          <w:sz w:val="24"/>
                          <w:szCs w:val="24"/>
                        </w:rPr>
                        <w:t>SS.7.CG.3.11 Benchmark Clarification 2</w:t>
                      </w:r>
                      <w:r w:rsidRPr="00B42E25">
                        <w:rPr>
                          <w:i/>
                          <w:color w:val="000000" w:themeColor="text1"/>
                          <w:sz w:val="24"/>
                          <w:szCs w:val="24"/>
                        </w:rPr>
                        <w:t xml:space="preserve">: </w:t>
                      </w:r>
                      <w:r w:rsidRPr="00B42E25">
                        <w:rPr>
                          <w:color w:val="000000" w:themeColor="text1"/>
                          <w:sz w:val="24"/>
                          <w:szCs w:val="24"/>
                        </w:rPr>
                        <w:t>Students will use primary sources to assess the significance of each U.S. Supreme Court case.</w:t>
                      </w:r>
                    </w:p>
                  </w:txbxContent>
                </v:textbox>
              </v:rect>
            </w:pict>
          </mc:Fallback>
        </mc:AlternateContent>
      </w:r>
      <w:r w:rsidR="00DF7AA6"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65A49895">
                <wp:simplePos x="0" y="0"/>
                <wp:positionH relativeFrom="margin">
                  <wp:posOffset>915035</wp:posOffset>
                </wp:positionH>
                <wp:positionV relativeFrom="paragraph">
                  <wp:posOffset>37465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C29323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2.95pt" to="450.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4F2D7DA7" w14:textId="77777777" w:rsidR="00614E82" w:rsidRDefault="00614E82" w:rsidP="001A43A8">
      <w:pPr>
        <w:pBdr>
          <w:top w:val="nil"/>
          <w:left w:val="nil"/>
          <w:bottom w:val="nil"/>
          <w:right w:val="nil"/>
          <w:between w:val="nil"/>
        </w:pBdr>
        <w:spacing w:before="145" w:line="237" w:lineRule="auto"/>
        <w:ind w:right="483"/>
        <w:rPr>
          <w:color w:val="000000"/>
          <w:sz w:val="24"/>
          <w:szCs w:val="24"/>
        </w:rPr>
      </w:pPr>
    </w:p>
    <w:p w14:paraId="2D6CFBA5" w14:textId="77777777" w:rsidR="00614E82" w:rsidRDefault="00614E82" w:rsidP="00614E82">
      <w:pPr>
        <w:pStyle w:val="Heading1"/>
        <w:spacing w:before="134" w:after="2"/>
        <w:ind w:left="0" w:right="494"/>
        <w:rPr>
          <w:b w:val="0"/>
          <w:bCs w:val="0"/>
          <w:u w:val="none"/>
        </w:rPr>
      </w:pPr>
      <w:r w:rsidRPr="00B42E25">
        <w:rPr>
          <w:b w:val="0"/>
          <w:bCs w:val="0"/>
          <w:u w:val="none"/>
        </w:rPr>
        <w:t xml:space="preserve">There have been several landmark U.S. Supreme Court judicial opinions that have significantly impacted American society and government. </w:t>
      </w:r>
    </w:p>
    <w:p w14:paraId="5C9220BB" w14:textId="77777777" w:rsidR="00DC5208" w:rsidRPr="00B42E25" w:rsidRDefault="00DC5208" w:rsidP="00614E82">
      <w:pPr>
        <w:pStyle w:val="Heading1"/>
        <w:spacing w:before="134" w:after="2"/>
        <w:ind w:left="0" w:right="494"/>
        <w:rPr>
          <w:b w:val="0"/>
          <w:bCs w:val="0"/>
          <w:u w:val="none"/>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770"/>
        <w:gridCol w:w="4500"/>
      </w:tblGrid>
      <w:tr w:rsidR="00DC5208" w:rsidRPr="00B42E25" w14:paraId="05E989A8" w14:textId="77777777" w:rsidTr="00E86A9F">
        <w:trPr>
          <w:trHeight w:val="341"/>
        </w:trPr>
        <w:tc>
          <w:tcPr>
            <w:tcW w:w="6390" w:type="dxa"/>
            <w:gridSpan w:val="2"/>
          </w:tcPr>
          <w:p w14:paraId="29A7F0DC" w14:textId="77777777" w:rsidR="00DC5208" w:rsidRPr="00B42E25" w:rsidRDefault="00DC5208" w:rsidP="00E86A9F">
            <w:pPr>
              <w:pBdr>
                <w:top w:val="nil"/>
                <w:left w:val="nil"/>
                <w:bottom w:val="nil"/>
                <w:right w:val="nil"/>
                <w:between w:val="nil"/>
              </w:pBdr>
              <w:ind w:right="1062"/>
              <w:rPr>
                <w:b/>
                <w:color w:val="000000"/>
                <w:sz w:val="24"/>
                <w:szCs w:val="24"/>
              </w:rPr>
            </w:pPr>
            <w:r w:rsidRPr="00B42E25">
              <w:rPr>
                <w:b/>
                <w:color w:val="000000"/>
                <w:sz w:val="24"/>
                <w:szCs w:val="24"/>
              </w:rPr>
              <w:t>Landmark Supreme Court Cases</w:t>
            </w:r>
          </w:p>
        </w:tc>
        <w:tc>
          <w:tcPr>
            <w:tcW w:w="4500" w:type="dxa"/>
          </w:tcPr>
          <w:p w14:paraId="2ACFEDFB" w14:textId="77777777" w:rsidR="00DC5208" w:rsidRPr="00B42E25" w:rsidRDefault="00DC5208" w:rsidP="00E86A9F">
            <w:pPr>
              <w:pBdr>
                <w:top w:val="nil"/>
                <w:left w:val="nil"/>
                <w:bottom w:val="nil"/>
                <w:right w:val="nil"/>
                <w:between w:val="nil"/>
              </w:pBdr>
              <w:spacing w:before="14"/>
              <w:rPr>
                <w:b/>
                <w:color w:val="000000"/>
                <w:sz w:val="24"/>
                <w:szCs w:val="24"/>
              </w:rPr>
            </w:pPr>
            <w:r w:rsidRPr="00B42E25">
              <w:rPr>
                <w:b/>
                <w:color w:val="000000"/>
                <w:sz w:val="24"/>
                <w:szCs w:val="24"/>
              </w:rPr>
              <w:t>Primary Sources</w:t>
            </w:r>
          </w:p>
        </w:tc>
      </w:tr>
      <w:tr w:rsidR="00DC5208" w14:paraId="4D4DCB3B" w14:textId="77777777" w:rsidTr="00E86A9F">
        <w:trPr>
          <w:trHeight w:val="527"/>
        </w:trPr>
        <w:tc>
          <w:tcPr>
            <w:tcW w:w="1620" w:type="dxa"/>
          </w:tcPr>
          <w:p w14:paraId="6B52B2D8" w14:textId="77777777" w:rsidR="00DC5208" w:rsidRDefault="00DC5208" w:rsidP="00E86A9F">
            <w:pPr>
              <w:pBdr>
                <w:top w:val="nil"/>
                <w:left w:val="nil"/>
                <w:bottom w:val="nil"/>
                <w:right w:val="nil"/>
                <w:between w:val="nil"/>
              </w:pBdr>
              <w:spacing w:before="9"/>
              <w:ind w:left="450"/>
              <w:rPr>
                <w:b/>
                <w:color w:val="000000"/>
              </w:rPr>
            </w:pPr>
            <w:r>
              <w:rPr>
                <w:b/>
                <w:color w:val="000000"/>
              </w:rPr>
              <w:t>Case</w:t>
            </w:r>
          </w:p>
        </w:tc>
        <w:tc>
          <w:tcPr>
            <w:tcW w:w="4770" w:type="dxa"/>
          </w:tcPr>
          <w:p w14:paraId="5EA3E6E0" w14:textId="77777777" w:rsidR="00DC5208" w:rsidRDefault="00DC5208" w:rsidP="00E86A9F">
            <w:pPr>
              <w:pBdr>
                <w:top w:val="nil"/>
                <w:left w:val="nil"/>
                <w:bottom w:val="nil"/>
                <w:right w:val="nil"/>
                <w:between w:val="nil"/>
              </w:pBdr>
              <w:spacing w:before="9"/>
              <w:rPr>
                <w:b/>
                <w:color w:val="000000"/>
              </w:rPr>
            </w:pPr>
            <w:r>
              <w:rPr>
                <w:b/>
                <w:color w:val="000000"/>
              </w:rPr>
              <w:t>Significant Details</w:t>
            </w:r>
          </w:p>
        </w:tc>
        <w:tc>
          <w:tcPr>
            <w:tcW w:w="4500" w:type="dxa"/>
          </w:tcPr>
          <w:p w14:paraId="50DD1A7B" w14:textId="77777777" w:rsidR="00DC5208" w:rsidRDefault="00DC5208" w:rsidP="00E86A9F">
            <w:pPr>
              <w:pBdr>
                <w:top w:val="nil"/>
                <w:left w:val="nil"/>
                <w:bottom w:val="nil"/>
                <w:right w:val="nil"/>
                <w:between w:val="nil"/>
              </w:pBdr>
              <w:spacing w:line="264" w:lineRule="auto"/>
              <w:ind w:left="122" w:right="183"/>
              <w:rPr>
                <w:b/>
                <w:color w:val="000000"/>
              </w:rPr>
            </w:pPr>
            <w:r>
              <w:rPr>
                <w:b/>
                <w:color w:val="000000"/>
              </w:rPr>
              <w:t>Passages from the Court Opinion Linked to the Significance of the Case</w:t>
            </w:r>
          </w:p>
        </w:tc>
      </w:tr>
      <w:tr w:rsidR="00DC5208" w14:paraId="66690442" w14:textId="77777777" w:rsidTr="00E86A9F">
        <w:trPr>
          <w:trHeight w:val="527"/>
        </w:trPr>
        <w:tc>
          <w:tcPr>
            <w:tcW w:w="1620" w:type="dxa"/>
          </w:tcPr>
          <w:p w14:paraId="5AD46524" w14:textId="77777777" w:rsidR="00DC5208" w:rsidRDefault="00DC5208" w:rsidP="00DC5208">
            <w:pPr>
              <w:rPr>
                <w:b/>
              </w:rPr>
            </w:pPr>
            <w:r>
              <w:rPr>
                <w:b/>
              </w:rPr>
              <w:t>Marbury v. Madison</w:t>
            </w:r>
          </w:p>
          <w:p w14:paraId="03E348A7" w14:textId="2138F743" w:rsidR="00DC5208" w:rsidRDefault="00DC5208" w:rsidP="00DC5208">
            <w:pPr>
              <w:pBdr>
                <w:top w:val="nil"/>
                <w:left w:val="nil"/>
                <w:bottom w:val="nil"/>
                <w:right w:val="nil"/>
                <w:between w:val="nil"/>
              </w:pBdr>
              <w:spacing w:before="9"/>
              <w:rPr>
                <w:b/>
                <w:color w:val="000000"/>
              </w:rPr>
            </w:pPr>
            <w:r>
              <w:rPr>
                <w:b/>
                <w:color w:val="000000"/>
              </w:rPr>
              <w:t>(1803)</w:t>
            </w:r>
          </w:p>
        </w:tc>
        <w:tc>
          <w:tcPr>
            <w:tcW w:w="4770" w:type="dxa"/>
          </w:tcPr>
          <w:p w14:paraId="4166CF69" w14:textId="21728F5F" w:rsidR="00DC5208" w:rsidRDefault="00DC5208" w:rsidP="00DC5208">
            <w:pPr>
              <w:pBdr>
                <w:top w:val="nil"/>
                <w:left w:val="nil"/>
                <w:bottom w:val="nil"/>
                <w:right w:val="nil"/>
                <w:between w:val="nil"/>
              </w:pBdr>
              <w:spacing w:before="9"/>
              <w:rPr>
                <w:b/>
                <w:color w:val="000000"/>
              </w:rPr>
            </w:pPr>
            <w:r>
              <w:t xml:space="preserve">President John Adams nominated (named) William Marbury as one of forty-two justices of the peace on March 2, 1801. The Senate confirmed the nominations the following day, March 3, which was Adams's last full day in office. However, acting Secretary of State John Marshall failed to deliver four of the commissions, including Marbury’s. When Thomas Jefferson took office on March 4, he ordered that the four remaining commissions be withheld. Marbury sued the new secretary of state, James Madison, </w:t>
            </w:r>
            <w:proofErr w:type="gramStart"/>
            <w:r>
              <w:t>in order to</w:t>
            </w:r>
            <w:proofErr w:type="gramEnd"/>
            <w:r>
              <w:t xml:space="preserve"> obtain his commission. The Supreme Court issued its opinion on February 24, 1803.</w:t>
            </w:r>
          </w:p>
        </w:tc>
        <w:tc>
          <w:tcPr>
            <w:tcW w:w="4500" w:type="dxa"/>
          </w:tcPr>
          <w:p w14:paraId="202FD772" w14:textId="42F2F4AC" w:rsidR="00DC5208" w:rsidRDefault="00DC5208" w:rsidP="00DC5208">
            <w:pPr>
              <w:pBdr>
                <w:top w:val="nil"/>
                <w:left w:val="nil"/>
                <w:bottom w:val="nil"/>
                <w:right w:val="nil"/>
                <w:between w:val="nil"/>
              </w:pBdr>
              <w:spacing w:line="264" w:lineRule="auto"/>
              <w:ind w:left="122" w:right="183"/>
              <w:rPr>
                <w:b/>
                <w:color w:val="000000"/>
              </w:rPr>
            </w:pPr>
            <w:r>
              <w:rPr>
                <w:color w:val="000000"/>
              </w:rPr>
              <w:t xml:space="preserve">"It is emphatically the province and duty of the judicial department to say what the law is. Those who apply the rule to </w:t>
            </w:r>
            <w:proofErr w:type="gramStart"/>
            <w:r>
              <w:rPr>
                <w:color w:val="000000"/>
              </w:rPr>
              <w:t>particular cases</w:t>
            </w:r>
            <w:proofErr w:type="gramEnd"/>
            <w:r>
              <w:rPr>
                <w:color w:val="000000"/>
              </w:rPr>
              <w:t>, must of necessity expound and interpret that rule. If two law conflict with each other, the courts must decide on the operation of each."</w:t>
            </w:r>
          </w:p>
        </w:tc>
      </w:tr>
    </w:tbl>
    <w:p w14:paraId="18EF3FBD" w14:textId="6D4C7817" w:rsidR="00614E82" w:rsidRDefault="00614E82" w:rsidP="00DC5208">
      <w:pPr>
        <w:pBdr>
          <w:top w:val="nil"/>
          <w:left w:val="nil"/>
          <w:bottom w:val="nil"/>
          <w:right w:val="nil"/>
          <w:between w:val="nil"/>
        </w:pBdr>
        <w:tabs>
          <w:tab w:val="left" w:pos="1700"/>
        </w:tabs>
        <w:spacing w:before="145" w:line="237" w:lineRule="auto"/>
        <w:ind w:right="483"/>
        <w:rPr>
          <w:color w:val="000000"/>
          <w:sz w:val="24"/>
          <w:szCs w:val="24"/>
        </w:rPr>
      </w:pPr>
    </w:p>
    <w:p w14:paraId="24A1DD7E" w14:textId="77777777" w:rsidR="00DC5208" w:rsidRDefault="00DC5208" w:rsidP="001A43A8">
      <w:pPr>
        <w:pBdr>
          <w:top w:val="nil"/>
          <w:left w:val="nil"/>
          <w:bottom w:val="nil"/>
          <w:right w:val="nil"/>
          <w:between w:val="nil"/>
        </w:pBdr>
        <w:spacing w:before="145" w:line="237" w:lineRule="auto"/>
        <w:ind w:right="483"/>
        <w:rPr>
          <w:color w:val="000000"/>
          <w:sz w:val="24"/>
          <w:szCs w:val="24"/>
        </w:rPr>
      </w:pPr>
    </w:p>
    <w:sectPr w:rsidR="00DC5208"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2CD3" w14:textId="77777777" w:rsidR="00710D57" w:rsidRDefault="00710D57" w:rsidP="00425560">
      <w:r>
        <w:separator/>
      </w:r>
    </w:p>
  </w:endnote>
  <w:endnote w:type="continuationSeparator" w:id="0">
    <w:p w14:paraId="09C66CA9" w14:textId="77777777" w:rsidR="00710D57" w:rsidRDefault="00710D57"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C88E" w14:textId="77777777" w:rsidR="00710D57" w:rsidRDefault="00710D57" w:rsidP="00425560">
      <w:r>
        <w:separator/>
      </w:r>
    </w:p>
  </w:footnote>
  <w:footnote w:type="continuationSeparator" w:id="0">
    <w:p w14:paraId="64A8A4B2" w14:textId="77777777" w:rsidR="00710D57" w:rsidRDefault="00710D57"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19"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2"/>
  </w:num>
  <w:num w:numId="3" w16cid:durableId="705562427">
    <w:abstractNumId w:val="19"/>
  </w:num>
  <w:num w:numId="4" w16cid:durableId="431122126">
    <w:abstractNumId w:val="16"/>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5"/>
  </w:num>
  <w:num w:numId="13" w16cid:durableId="187107005">
    <w:abstractNumId w:val="8"/>
  </w:num>
  <w:num w:numId="14" w16cid:durableId="1831368088">
    <w:abstractNumId w:val="10"/>
  </w:num>
  <w:num w:numId="15" w16cid:durableId="1558200475">
    <w:abstractNumId w:val="11"/>
  </w:num>
  <w:num w:numId="16" w16cid:durableId="976106258">
    <w:abstractNumId w:val="17"/>
  </w:num>
  <w:num w:numId="17" w16cid:durableId="2067412749">
    <w:abstractNumId w:val="0"/>
  </w:num>
  <w:num w:numId="18" w16cid:durableId="1643806323">
    <w:abstractNumId w:val="7"/>
  </w:num>
  <w:num w:numId="19" w16cid:durableId="189538227">
    <w:abstractNumId w:val="18"/>
  </w:num>
  <w:num w:numId="20" w16cid:durableId="1155142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A43A8"/>
    <w:rsid w:val="001C0549"/>
    <w:rsid w:val="001E5718"/>
    <w:rsid w:val="0021150C"/>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45AE1"/>
    <w:rsid w:val="004D5AFB"/>
    <w:rsid w:val="004E62EB"/>
    <w:rsid w:val="0059419A"/>
    <w:rsid w:val="005C4ABE"/>
    <w:rsid w:val="005D53C2"/>
    <w:rsid w:val="00614E82"/>
    <w:rsid w:val="006371A3"/>
    <w:rsid w:val="00637218"/>
    <w:rsid w:val="00685C90"/>
    <w:rsid w:val="0069768D"/>
    <w:rsid w:val="006B79BF"/>
    <w:rsid w:val="006C14F9"/>
    <w:rsid w:val="006D0620"/>
    <w:rsid w:val="006E700A"/>
    <w:rsid w:val="006F4896"/>
    <w:rsid w:val="00710D57"/>
    <w:rsid w:val="0075450E"/>
    <w:rsid w:val="00791931"/>
    <w:rsid w:val="00802073"/>
    <w:rsid w:val="0087181C"/>
    <w:rsid w:val="008F7E36"/>
    <w:rsid w:val="00992873"/>
    <w:rsid w:val="009A41F6"/>
    <w:rsid w:val="00A04886"/>
    <w:rsid w:val="00A6246E"/>
    <w:rsid w:val="00A91A6D"/>
    <w:rsid w:val="00AD3578"/>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D65B18"/>
    <w:rsid w:val="00DC5208"/>
    <w:rsid w:val="00DD1A1A"/>
    <w:rsid w:val="00DF7AA6"/>
    <w:rsid w:val="00E061CF"/>
    <w:rsid w:val="00E60BB6"/>
    <w:rsid w:val="00E66F14"/>
    <w:rsid w:val="00E778F7"/>
    <w:rsid w:val="00EA262C"/>
    <w:rsid w:val="00EA75A1"/>
    <w:rsid w:val="00F03A82"/>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2023-06-28T21:30:00Z</dcterms:created>
  <dcterms:modified xsi:type="dcterms:W3CDTF">2023-06-28T21:30:00Z</dcterms:modified>
</cp:coreProperties>
</file>