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00D3D42" w:rsidR="005C4ABE" w:rsidRDefault="00DF7AA6">
      <w:r>
        <w:rPr>
          <w:noProof/>
        </w:rPr>
        <w:drawing>
          <wp:anchor distT="0" distB="0" distL="114300" distR="114300" simplePos="0" relativeHeight="251661312" behindDoc="0" locked="0" layoutInCell="1" allowOverlap="1" wp14:anchorId="01C9A56A" wp14:editId="00DE0E9A">
            <wp:simplePos x="0" y="0"/>
            <wp:positionH relativeFrom="margin">
              <wp:posOffset>5715</wp:posOffset>
            </wp:positionH>
            <wp:positionV relativeFrom="margin">
              <wp:posOffset>203200</wp:posOffset>
            </wp:positionV>
            <wp:extent cx="786130" cy="7899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789940"/>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rPr>
        <mc:AlternateContent>
          <mc:Choice Requires="wps">
            <w:drawing>
              <wp:anchor distT="0" distB="0" distL="114300" distR="114300" simplePos="0" relativeHeight="251659264" behindDoc="0" locked="0" layoutInCell="1" allowOverlap="1" wp14:anchorId="77ECD896" wp14:editId="46F3EF5B">
                <wp:simplePos x="0" y="0"/>
                <wp:positionH relativeFrom="column">
                  <wp:posOffset>876300</wp:posOffset>
                </wp:positionH>
                <wp:positionV relativeFrom="paragraph">
                  <wp:posOffset>165100</wp:posOffset>
                </wp:positionV>
                <wp:extent cx="2692400" cy="990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92400"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61E2DA33" w:rsidR="00425560" w:rsidRPr="006D5C7D" w:rsidRDefault="00DF7AA6"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xml:space="preserve"> SS.7.CG.</w:t>
                            </w:r>
                            <w:r w:rsidR="00C0407B">
                              <w:rPr>
                                <w:i/>
                                <w:color w:val="323E4F" w:themeColor="text2" w:themeShade="BF"/>
                                <w:sz w:val="24"/>
                                <w:szCs w:val="24"/>
                              </w:rPr>
                              <w:t>3.</w:t>
                            </w:r>
                            <w:r w:rsidR="00E66F14">
                              <w:rPr>
                                <w:i/>
                                <w:color w:val="323E4F" w:themeColor="text2" w:themeShade="BF"/>
                                <w:sz w:val="24"/>
                                <w:szCs w:val="24"/>
                              </w:rPr>
                              <w:t>11</w:t>
                            </w:r>
                          </w:p>
                          <w:p w14:paraId="08946024" w14:textId="0CBC6DE2" w:rsidR="00425560" w:rsidRPr="006D5C7D" w:rsidRDefault="00E66F14" w:rsidP="00425560">
                            <w:pPr>
                              <w:rPr>
                                <w:b/>
                                <w:i/>
                                <w:color w:val="323E4F" w:themeColor="text2" w:themeShade="BF"/>
                                <w:sz w:val="24"/>
                                <w:szCs w:val="24"/>
                              </w:rPr>
                            </w:pPr>
                            <w:r>
                              <w:rPr>
                                <w:b/>
                                <w:i/>
                                <w:color w:val="323E4F" w:themeColor="text2" w:themeShade="BF"/>
                                <w:sz w:val="24"/>
                                <w:szCs w:val="24"/>
                              </w:rPr>
                              <w:t>Landmark Supreme Court Cases</w:t>
                            </w:r>
                            <w:r w:rsidR="00DF7AA6">
                              <w:rPr>
                                <w:b/>
                                <w:i/>
                                <w:color w:val="323E4F" w:themeColor="text2" w:themeShade="BF"/>
                                <w:sz w:val="24"/>
                                <w:szCs w:val="24"/>
                              </w:rPr>
                              <w:t xml:space="preserve"> (Marbury v. Madison)</w:t>
                            </w:r>
                          </w:p>
                          <w:p w14:paraId="3F38EE4A" w14:textId="7394116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36AD3">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13pt;width:21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" filled="f" stroked="f">
                <v:textbox>
                  <w:txbxContent>
                    <w:p w14:paraId="25D8C899" w14:textId="61E2DA33" w:rsidR="00425560" w:rsidRPr="006D5C7D" w:rsidRDefault="00DF7AA6" w:rsidP="00425560">
                      <w:pPr>
                        <w:rPr>
                          <w:i/>
                          <w:color w:val="323E4F" w:themeColor="text2" w:themeShade="BF"/>
                          <w:sz w:val="24"/>
                          <w:szCs w:val="24"/>
                        </w:rPr>
                      </w:pPr>
                      <w:r>
                        <w:rPr>
                          <w:i/>
                          <w:color w:val="323E4F" w:themeColor="text2" w:themeShade="BF"/>
                          <w:sz w:val="24"/>
                          <w:szCs w:val="24"/>
                        </w:rPr>
                        <w:t>The Judicial Branch and Legal System:</w:t>
                      </w:r>
                      <w:r w:rsidR="00BE0DE4">
                        <w:rPr>
                          <w:i/>
                          <w:color w:val="323E4F" w:themeColor="text2" w:themeShade="BF"/>
                          <w:sz w:val="24"/>
                          <w:szCs w:val="24"/>
                        </w:rPr>
                        <w:t xml:space="preserve"> SS.7.CG.</w:t>
                      </w:r>
                      <w:r w:rsidR="00C0407B">
                        <w:rPr>
                          <w:i/>
                          <w:color w:val="323E4F" w:themeColor="text2" w:themeShade="BF"/>
                          <w:sz w:val="24"/>
                          <w:szCs w:val="24"/>
                        </w:rPr>
                        <w:t>3.</w:t>
                      </w:r>
                      <w:r w:rsidR="00E66F14">
                        <w:rPr>
                          <w:i/>
                          <w:color w:val="323E4F" w:themeColor="text2" w:themeShade="BF"/>
                          <w:sz w:val="24"/>
                          <w:szCs w:val="24"/>
                        </w:rPr>
                        <w:t>11</w:t>
                      </w:r>
                    </w:p>
                    <w:p w14:paraId="08946024" w14:textId="0CBC6DE2" w:rsidR="00425560" w:rsidRPr="006D5C7D" w:rsidRDefault="00E66F14" w:rsidP="00425560">
                      <w:pPr>
                        <w:rPr>
                          <w:b/>
                          <w:i/>
                          <w:color w:val="323E4F" w:themeColor="text2" w:themeShade="BF"/>
                          <w:sz w:val="24"/>
                          <w:szCs w:val="24"/>
                        </w:rPr>
                      </w:pPr>
                      <w:r>
                        <w:rPr>
                          <w:b/>
                          <w:i/>
                          <w:color w:val="323E4F" w:themeColor="text2" w:themeShade="BF"/>
                          <w:sz w:val="24"/>
                          <w:szCs w:val="24"/>
                        </w:rPr>
                        <w:t>Landmark Supreme Court Cases</w:t>
                      </w:r>
                      <w:r w:rsidR="00DF7AA6">
                        <w:rPr>
                          <w:b/>
                          <w:i/>
                          <w:color w:val="323E4F" w:themeColor="text2" w:themeShade="BF"/>
                          <w:sz w:val="24"/>
                          <w:szCs w:val="24"/>
                        </w:rPr>
                        <w:t xml:space="preserve"> (Marbury v. Madison)</w:t>
                      </w:r>
                    </w:p>
                    <w:p w14:paraId="3F38EE4A" w14:textId="7394116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36AD3">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446B53A" w:rsidR="00425560" w:rsidRPr="00425560" w:rsidRDefault="00614E82" w:rsidP="00425560">
      <w:r>
        <w:rPr>
          <w:i/>
          <w:noProof/>
          <w:sz w:val="28"/>
          <w:szCs w:val="28"/>
        </w:rPr>
        <mc:AlternateContent>
          <mc:Choice Requires="wps">
            <w:drawing>
              <wp:anchor distT="0" distB="0" distL="114300" distR="114300" simplePos="0" relativeHeight="251664384" behindDoc="0" locked="0" layoutInCell="1" allowOverlap="1" wp14:anchorId="231F332B" wp14:editId="098C83AC">
                <wp:simplePos x="0" y="0"/>
                <wp:positionH relativeFrom="column">
                  <wp:posOffset>-76200</wp:posOffset>
                </wp:positionH>
                <wp:positionV relativeFrom="paragraph">
                  <wp:posOffset>196215</wp:posOffset>
                </wp:positionV>
                <wp:extent cx="6972300" cy="5334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33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129DA15" w:rsidR="000A4C80" w:rsidRPr="00E66F14" w:rsidRDefault="00236AD3" w:rsidP="00236AD3">
                            <w:pPr>
                              <w:spacing w:line="242" w:lineRule="auto"/>
                              <w:ind w:right="736"/>
                              <w:rPr>
                                <w:color w:val="000000" w:themeColor="text1"/>
                                <w:sz w:val="24"/>
                                <w:szCs w:val="24"/>
                              </w:rPr>
                            </w:pPr>
                            <w:r w:rsidRPr="00D36093">
                              <w:rPr>
                                <w:b/>
                                <w:i/>
                                <w:color w:val="000000" w:themeColor="text1"/>
                                <w:sz w:val="24"/>
                                <w:szCs w:val="24"/>
                              </w:rPr>
                              <w:t>SS.7.CG.3.11 Benchmark Clarification 3</w:t>
                            </w:r>
                            <w:r w:rsidRPr="00D36093">
                              <w:rPr>
                                <w:i/>
                                <w:color w:val="000000" w:themeColor="text1"/>
                                <w:sz w:val="24"/>
                                <w:szCs w:val="24"/>
                              </w:rPr>
                              <w:t xml:space="preserve">: </w:t>
                            </w:r>
                            <w:r w:rsidRPr="00D36093">
                              <w:rPr>
                                <w:color w:val="000000" w:themeColor="text1"/>
                                <w:sz w:val="24"/>
                                <w:szCs w:val="24"/>
                              </w:rPr>
                              <w:t>Students will evaluate the impact of each case on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" filled="f" strokecolor="black [3213]" strokeweight="1pt">
                <v:textbox>
                  <w:txbxContent>
                    <w:p w14:paraId="24A11C5B" w14:textId="3129DA15" w:rsidR="000A4C80" w:rsidRPr="00E66F14" w:rsidRDefault="00236AD3" w:rsidP="00236AD3">
                      <w:pPr>
                        <w:spacing w:line="242" w:lineRule="auto"/>
                        <w:ind w:right="736"/>
                        <w:rPr>
                          <w:color w:val="000000" w:themeColor="text1"/>
                          <w:sz w:val="24"/>
                          <w:szCs w:val="24"/>
                        </w:rPr>
                      </w:pPr>
                      <w:r w:rsidRPr="00D36093">
                        <w:rPr>
                          <w:b/>
                          <w:i/>
                          <w:color w:val="000000" w:themeColor="text1"/>
                          <w:sz w:val="24"/>
                          <w:szCs w:val="24"/>
                        </w:rPr>
                        <w:t>SS.7.CG.3.11 Benchmark Clarification 3</w:t>
                      </w:r>
                      <w:r w:rsidRPr="00D36093">
                        <w:rPr>
                          <w:i/>
                          <w:color w:val="000000" w:themeColor="text1"/>
                          <w:sz w:val="24"/>
                          <w:szCs w:val="24"/>
                        </w:rPr>
                        <w:t xml:space="preserve">: </w:t>
                      </w:r>
                      <w:r w:rsidRPr="00D36093">
                        <w:rPr>
                          <w:color w:val="000000" w:themeColor="text1"/>
                          <w:sz w:val="24"/>
                          <w:szCs w:val="24"/>
                        </w:rPr>
                        <w:t>Students will evaluate the impact of each case on society.</w:t>
                      </w:r>
                    </w:p>
                  </w:txbxContent>
                </v:textbox>
              </v:rect>
            </w:pict>
          </mc:Fallback>
        </mc:AlternateContent>
      </w:r>
      <w:r w:rsidR="00DF7AA6"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65A49895">
                <wp:simplePos x="0" y="0"/>
                <wp:positionH relativeFrom="margin">
                  <wp:posOffset>915035</wp:posOffset>
                </wp:positionH>
                <wp:positionV relativeFrom="paragraph">
                  <wp:posOffset>37465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5E33D3A"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2.95pt" to="450.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" strokecolor="#bc3700" strokeweight="2.25pt">
                <v:stroke joinstyle="miter"/>
                <w10:wrap anchorx="margin"/>
              </v:line>
            </w:pict>
          </mc:Fallback>
        </mc:AlternateContent>
      </w:r>
    </w:p>
    <w:p w14:paraId="6E4DA21B" w14:textId="5FCBC8B4" w:rsidR="00425560" w:rsidRPr="00425560" w:rsidRDefault="00425560" w:rsidP="00425560"/>
    <w:p w14:paraId="6B59C654" w14:textId="3DAD00A9" w:rsidR="00F524F0" w:rsidRDefault="00F524F0" w:rsidP="005D53C2">
      <w:pPr>
        <w:spacing w:before="92" w:line="242" w:lineRule="auto"/>
        <w:ind w:right="96"/>
        <w:rPr>
          <w:color w:val="000000"/>
          <w:sz w:val="20"/>
          <w:szCs w:val="20"/>
        </w:rPr>
      </w:pPr>
    </w:p>
    <w:p w14:paraId="4F2D7DA7" w14:textId="77777777" w:rsidR="00614E82" w:rsidRDefault="00614E82" w:rsidP="001A43A8">
      <w:pPr>
        <w:pBdr>
          <w:top w:val="nil"/>
          <w:left w:val="nil"/>
          <w:bottom w:val="nil"/>
          <w:right w:val="nil"/>
          <w:between w:val="nil"/>
        </w:pBdr>
        <w:spacing w:before="145" w:line="237" w:lineRule="auto"/>
        <w:ind w:right="483"/>
        <w:rPr>
          <w:color w:val="000000"/>
          <w:sz w:val="24"/>
          <w:szCs w:val="24"/>
        </w:rPr>
      </w:pPr>
    </w:p>
    <w:p w14:paraId="22036F8A" w14:textId="77777777" w:rsidR="00236AD3" w:rsidRDefault="00236AD3" w:rsidP="00236AD3">
      <w:pPr>
        <w:pBdr>
          <w:top w:val="nil"/>
          <w:left w:val="nil"/>
          <w:bottom w:val="nil"/>
          <w:right w:val="nil"/>
          <w:between w:val="nil"/>
        </w:pBdr>
        <w:spacing w:before="145" w:line="237" w:lineRule="auto"/>
        <w:ind w:right="483"/>
        <w:rPr>
          <w:color w:val="000000"/>
          <w:sz w:val="24"/>
          <w:szCs w:val="24"/>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9194"/>
      </w:tblGrid>
      <w:tr w:rsidR="00236AD3" w14:paraId="471A2B21" w14:textId="77777777" w:rsidTr="00236AD3">
        <w:trPr>
          <w:trHeight w:val="512"/>
        </w:trPr>
        <w:tc>
          <w:tcPr>
            <w:tcW w:w="10980" w:type="dxa"/>
            <w:gridSpan w:val="2"/>
          </w:tcPr>
          <w:p w14:paraId="6823F927" w14:textId="18015B73" w:rsidR="00236AD3" w:rsidRDefault="00236AD3" w:rsidP="00236AD3">
            <w:pPr>
              <w:pBdr>
                <w:top w:val="nil"/>
                <w:left w:val="nil"/>
                <w:bottom w:val="nil"/>
                <w:right w:val="nil"/>
                <w:between w:val="nil"/>
              </w:pBdr>
              <w:tabs>
                <w:tab w:val="left" w:pos="1236"/>
              </w:tabs>
              <w:spacing w:line="264" w:lineRule="auto"/>
              <w:ind w:left="105" w:right="76"/>
              <w:jc w:val="center"/>
              <w:rPr>
                <w:color w:val="000000"/>
              </w:rPr>
            </w:pPr>
            <w:r>
              <w:rPr>
                <w:b/>
                <w:sz w:val="24"/>
                <w:szCs w:val="24"/>
              </w:rPr>
              <w:t>Landmark Supreme Court Cases</w:t>
            </w:r>
          </w:p>
        </w:tc>
      </w:tr>
      <w:tr w:rsidR="00236AD3" w14:paraId="1F83E243" w14:textId="77777777" w:rsidTr="00236AD3">
        <w:trPr>
          <w:trHeight w:val="440"/>
        </w:trPr>
        <w:tc>
          <w:tcPr>
            <w:tcW w:w="1786" w:type="dxa"/>
          </w:tcPr>
          <w:p w14:paraId="734F33A5" w14:textId="4B8AA9E1" w:rsidR="00236AD3" w:rsidRDefault="00236AD3" w:rsidP="00236AD3">
            <w:pPr>
              <w:rPr>
                <w:b/>
              </w:rPr>
            </w:pPr>
            <w:r>
              <w:rPr>
                <w:b/>
                <w:color w:val="000000"/>
                <w:sz w:val="24"/>
                <w:szCs w:val="24"/>
              </w:rPr>
              <w:t>Case</w:t>
            </w:r>
          </w:p>
        </w:tc>
        <w:tc>
          <w:tcPr>
            <w:tcW w:w="9194" w:type="dxa"/>
          </w:tcPr>
          <w:p w14:paraId="407D3C6C" w14:textId="21A3EE7D" w:rsidR="00236AD3" w:rsidRDefault="00236AD3" w:rsidP="00236AD3">
            <w:pPr>
              <w:pBdr>
                <w:top w:val="nil"/>
                <w:left w:val="nil"/>
                <w:bottom w:val="nil"/>
                <w:right w:val="nil"/>
                <w:between w:val="nil"/>
              </w:pBdr>
              <w:tabs>
                <w:tab w:val="left" w:pos="1236"/>
              </w:tabs>
              <w:spacing w:line="264" w:lineRule="auto"/>
              <w:ind w:left="105" w:right="76"/>
              <w:rPr>
                <w:color w:val="000000"/>
              </w:rPr>
            </w:pPr>
            <w:r>
              <w:rPr>
                <w:b/>
                <w:color w:val="000000"/>
                <w:sz w:val="24"/>
                <w:szCs w:val="24"/>
              </w:rPr>
              <w:t xml:space="preserve">                                     Impact on Society</w:t>
            </w:r>
          </w:p>
        </w:tc>
      </w:tr>
      <w:tr w:rsidR="00236AD3" w14:paraId="724633BD" w14:textId="77777777" w:rsidTr="00E86A9F">
        <w:trPr>
          <w:trHeight w:val="953"/>
        </w:trPr>
        <w:tc>
          <w:tcPr>
            <w:tcW w:w="1786" w:type="dxa"/>
            <w:vAlign w:val="center"/>
          </w:tcPr>
          <w:p w14:paraId="1088119C" w14:textId="77777777" w:rsidR="00236AD3" w:rsidRDefault="00236AD3" w:rsidP="00236AD3">
            <w:pPr>
              <w:rPr>
                <w:b/>
              </w:rPr>
            </w:pPr>
            <w:r>
              <w:rPr>
                <w:b/>
              </w:rPr>
              <w:t>Marbury v. Madison</w:t>
            </w:r>
          </w:p>
          <w:p w14:paraId="4F18427F" w14:textId="77777777" w:rsidR="00236AD3" w:rsidRDefault="00236AD3" w:rsidP="00236AD3">
            <w:pPr>
              <w:pBdr>
                <w:top w:val="nil"/>
                <w:left w:val="nil"/>
                <w:bottom w:val="nil"/>
                <w:right w:val="nil"/>
                <w:between w:val="nil"/>
              </w:pBdr>
              <w:spacing w:line="264" w:lineRule="auto"/>
              <w:rPr>
                <w:b/>
                <w:i/>
                <w:color w:val="000000"/>
              </w:rPr>
            </w:pPr>
            <w:r>
              <w:rPr>
                <w:b/>
                <w:color w:val="000000"/>
              </w:rPr>
              <w:t>(1803)</w:t>
            </w:r>
          </w:p>
        </w:tc>
        <w:tc>
          <w:tcPr>
            <w:tcW w:w="9194" w:type="dxa"/>
          </w:tcPr>
          <w:p w14:paraId="70BBDE25" w14:textId="77777777" w:rsidR="00236AD3" w:rsidRDefault="00236AD3" w:rsidP="00236AD3">
            <w:pPr>
              <w:pBdr>
                <w:top w:val="nil"/>
                <w:left w:val="nil"/>
                <w:bottom w:val="nil"/>
                <w:right w:val="nil"/>
                <w:between w:val="nil"/>
              </w:pBdr>
              <w:tabs>
                <w:tab w:val="left" w:pos="1236"/>
              </w:tabs>
              <w:spacing w:line="264" w:lineRule="auto"/>
              <w:ind w:left="105" w:right="76"/>
              <w:rPr>
                <w:color w:val="000000"/>
              </w:rPr>
            </w:pPr>
            <w:r>
              <w:rPr>
                <w:color w:val="000000"/>
              </w:rPr>
              <w:t>The judicial opinion on this case firmly established that the United States Supreme Cour</w:t>
            </w:r>
            <w:r>
              <w:t xml:space="preserve">t </w:t>
            </w:r>
            <w:r>
              <w:rPr>
                <w:color w:val="000000"/>
              </w:rPr>
              <w:t xml:space="preserve">has the power to determine the constitutionality and validity of the acts of the other two branches of government, officially determining the authority and jurisdiction of the court on public matters. </w:t>
            </w:r>
          </w:p>
        </w:tc>
      </w:tr>
    </w:tbl>
    <w:p w14:paraId="24A1DD7E" w14:textId="77777777" w:rsidR="00DC5208" w:rsidRDefault="00DC5208" w:rsidP="001A43A8">
      <w:pPr>
        <w:pBdr>
          <w:top w:val="nil"/>
          <w:left w:val="nil"/>
          <w:bottom w:val="nil"/>
          <w:right w:val="nil"/>
          <w:between w:val="nil"/>
        </w:pBdr>
        <w:spacing w:before="145" w:line="237" w:lineRule="auto"/>
        <w:ind w:right="483"/>
        <w:rPr>
          <w:color w:val="000000"/>
          <w:sz w:val="24"/>
          <w:szCs w:val="24"/>
        </w:rPr>
      </w:pPr>
    </w:p>
    <w:sectPr w:rsidR="00DC5208"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3A4C" w14:textId="77777777" w:rsidR="00CA1580" w:rsidRDefault="00CA1580" w:rsidP="00425560">
      <w:r>
        <w:separator/>
      </w:r>
    </w:p>
  </w:endnote>
  <w:endnote w:type="continuationSeparator" w:id="0">
    <w:p w14:paraId="761D3289" w14:textId="77777777" w:rsidR="00CA1580" w:rsidRDefault="00CA158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E009" w14:textId="77777777" w:rsidR="00CA1580" w:rsidRDefault="00CA1580" w:rsidP="00425560">
      <w:r>
        <w:separator/>
      </w:r>
    </w:p>
  </w:footnote>
  <w:footnote w:type="continuationSeparator" w:id="0">
    <w:p w14:paraId="7A1D68A9" w14:textId="77777777" w:rsidR="00CA1580" w:rsidRDefault="00CA158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5CB790A"/>
    <w:multiLevelType w:val="multilevel"/>
    <w:tmpl w:val="A48CFC2E"/>
    <w:lvl w:ilvl="0">
      <w:numFmt w:val="bullet"/>
      <w:lvlText w:val="o"/>
      <w:lvlJc w:val="left"/>
      <w:pPr>
        <w:ind w:left="1250" w:hanging="360"/>
      </w:pPr>
      <w:rPr>
        <w:rFonts w:ascii="Courier New" w:eastAsia="Courier New" w:hAnsi="Courier New" w:cs="Courier New"/>
        <w:b w:val="0"/>
        <w:i w:val="0"/>
        <w:sz w:val="24"/>
        <w:szCs w:val="24"/>
      </w:rPr>
    </w:lvl>
    <w:lvl w:ilvl="1">
      <w:numFmt w:val="bullet"/>
      <w:lvlText w:val="•"/>
      <w:lvlJc w:val="left"/>
      <w:pPr>
        <w:ind w:left="2148" w:hanging="360"/>
      </w:pPr>
    </w:lvl>
    <w:lvl w:ilvl="2">
      <w:numFmt w:val="bullet"/>
      <w:lvlText w:val="•"/>
      <w:lvlJc w:val="left"/>
      <w:pPr>
        <w:ind w:left="3036" w:hanging="360"/>
      </w:pPr>
    </w:lvl>
    <w:lvl w:ilvl="3">
      <w:numFmt w:val="bullet"/>
      <w:lvlText w:val="•"/>
      <w:lvlJc w:val="left"/>
      <w:pPr>
        <w:ind w:left="3924" w:hanging="360"/>
      </w:pPr>
    </w:lvl>
    <w:lvl w:ilvl="4">
      <w:numFmt w:val="bullet"/>
      <w:lvlText w:val="•"/>
      <w:lvlJc w:val="left"/>
      <w:pPr>
        <w:ind w:left="4812" w:hanging="360"/>
      </w:pPr>
    </w:lvl>
    <w:lvl w:ilvl="5">
      <w:numFmt w:val="bullet"/>
      <w:lvlText w:val="•"/>
      <w:lvlJc w:val="left"/>
      <w:pPr>
        <w:ind w:left="5700" w:hanging="360"/>
      </w:pPr>
    </w:lvl>
    <w:lvl w:ilvl="6">
      <w:numFmt w:val="bullet"/>
      <w:lvlText w:val="•"/>
      <w:lvlJc w:val="left"/>
      <w:pPr>
        <w:ind w:left="6588" w:hanging="360"/>
      </w:pPr>
    </w:lvl>
    <w:lvl w:ilvl="7">
      <w:numFmt w:val="bullet"/>
      <w:lvlText w:val="•"/>
      <w:lvlJc w:val="left"/>
      <w:pPr>
        <w:ind w:left="7476" w:hanging="360"/>
      </w:pPr>
    </w:lvl>
    <w:lvl w:ilvl="8">
      <w:numFmt w:val="bullet"/>
      <w:lvlText w:val="•"/>
      <w:lvlJc w:val="left"/>
      <w:pPr>
        <w:ind w:left="8364" w:hanging="360"/>
      </w:pPr>
    </w:lvl>
  </w:abstractNum>
  <w:abstractNum w:abstractNumId="8"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9"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1"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CD1235"/>
    <w:multiLevelType w:val="multilevel"/>
    <w:tmpl w:val="82825C8C"/>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08" w:hanging="360"/>
      </w:pPr>
    </w:lvl>
    <w:lvl w:ilvl="2">
      <w:numFmt w:val="bullet"/>
      <w:lvlText w:val="•"/>
      <w:lvlJc w:val="left"/>
      <w:pPr>
        <w:ind w:left="3216" w:hanging="360"/>
      </w:pPr>
    </w:lvl>
    <w:lvl w:ilvl="3">
      <w:numFmt w:val="bullet"/>
      <w:lvlText w:val="•"/>
      <w:lvlJc w:val="left"/>
      <w:pPr>
        <w:ind w:left="4124" w:hanging="360"/>
      </w:pPr>
    </w:lvl>
    <w:lvl w:ilvl="4">
      <w:numFmt w:val="bullet"/>
      <w:lvlText w:val="•"/>
      <w:lvlJc w:val="left"/>
      <w:pPr>
        <w:ind w:left="5032" w:hanging="360"/>
      </w:pPr>
    </w:lvl>
    <w:lvl w:ilvl="5">
      <w:numFmt w:val="bullet"/>
      <w:lvlText w:val="•"/>
      <w:lvlJc w:val="left"/>
      <w:pPr>
        <w:ind w:left="5940" w:hanging="360"/>
      </w:pPr>
    </w:lvl>
    <w:lvl w:ilvl="6">
      <w:numFmt w:val="bullet"/>
      <w:lvlText w:val="•"/>
      <w:lvlJc w:val="left"/>
      <w:pPr>
        <w:ind w:left="6848" w:hanging="360"/>
      </w:pPr>
    </w:lvl>
    <w:lvl w:ilvl="7">
      <w:numFmt w:val="bullet"/>
      <w:lvlText w:val="•"/>
      <w:lvlJc w:val="left"/>
      <w:pPr>
        <w:ind w:left="7756" w:hanging="360"/>
      </w:pPr>
    </w:lvl>
    <w:lvl w:ilvl="8">
      <w:numFmt w:val="bullet"/>
      <w:lvlText w:val="•"/>
      <w:lvlJc w:val="left"/>
      <w:pPr>
        <w:ind w:left="8664" w:hanging="360"/>
      </w:pPr>
    </w:lvl>
  </w:abstractNum>
  <w:abstractNum w:abstractNumId="15"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7"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47D2970"/>
    <w:multiLevelType w:val="multilevel"/>
    <w:tmpl w:val="CFBC136E"/>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44" w:hanging="360"/>
      </w:pPr>
    </w:lvl>
    <w:lvl w:ilvl="2">
      <w:numFmt w:val="bullet"/>
      <w:lvlText w:val="•"/>
      <w:lvlJc w:val="left"/>
      <w:pPr>
        <w:ind w:left="3288" w:hanging="360"/>
      </w:pPr>
    </w:lvl>
    <w:lvl w:ilvl="3">
      <w:numFmt w:val="bullet"/>
      <w:lvlText w:val="•"/>
      <w:lvlJc w:val="left"/>
      <w:pPr>
        <w:ind w:left="4232" w:hanging="360"/>
      </w:pPr>
    </w:lvl>
    <w:lvl w:ilvl="4">
      <w:numFmt w:val="bullet"/>
      <w:lvlText w:val="•"/>
      <w:lvlJc w:val="left"/>
      <w:pPr>
        <w:ind w:left="5176" w:hanging="360"/>
      </w:pPr>
    </w:lvl>
    <w:lvl w:ilvl="5">
      <w:numFmt w:val="bullet"/>
      <w:lvlText w:val="•"/>
      <w:lvlJc w:val="left"/>
      <w:pPr>
        <w:ind w:left="6120" w:hanging="360"/>
      </w:pPr>
    </w:lvl>
    <w:lvl w:ilvl="6">
      <w:numFmt w:val="bullet"/>
      <w:lvlText w:val="•"/>
      <w:lvlJc w:val="left"/>
      <w:pPr>
        <w:ind w:left="7064" w:hanging="360"/>
      </w:pPr>
    </w:lvl>
    <w:lvl w:ilvl="7">
      <w:numFmt w:val="bullet"/>
      <w:lvlText w:val="•"/>
      <w:lvlJc w:val="left"/>
      <w:pPr>
        <w:ind w:left="8008" w:hanging="360"/>
      </w:pPr>
    </w:lvl>
    <w:lvl w:ilvl="8">
      <w:numFmt w:val="bullet"/>
      <w:lvlText w:val="•"/>
      <w:lvlJc w:val="left"/>
      <w:pPr>
        <w:ind w:left="8952" w:hanging="360"/>
      </w:pPr>
    </w:lvl>
  </w:abstractNum>
  <w:abstractNum w:abstractNumId="19"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9"/>
  </w:num>
  <w:num w:numId="2" w16cid:durableId="856188501">
    <w:abstractNumId w:val="12"/>
  </w:num>
  <w:num w:numId="3" w16cid:durableId="705562427">
    <w:abstractNumId w:val="19"/>
  </w:num>
  <w:num w:numId="4" w16cid:durableId="431122126">
    <w:abstractNumId w:val="16"/>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5"/>
  </w:num>
  <w:num w:numId="13" w16cid:durableId="187107005">
    <w:abstractNumId w:val="8"/>
  </w:num>
  <w:num w:numId="14" w16cid:durableId="1831368088">
    <w:abstractNumId w:val="10"/>
  </w:num>
  <w:num w:numId="15" w16cid:durableId="1558200475">
    <w:abstractNumId w:val="11"/>
  </w:num>
  <w:num w:numId="16" w16cid:durableId="976106258">
    <w:abstractNumId w:val="17"/>
  </w:num>
  <w:num w:numId="17" w16cid:durableId="2067412749">
    <w:abstractNumId w:val="0"/>
  </w:num>
  <w:num w:numId="18" w16cid:durableId="1643806323">
    <w:abstractNumId w:val="7"/>
  </w:num>
  <w:num w:numId="19" w16cid:durableId="189538227">
    <w:abstractNumId w:val="18"/>
  </w:num>
  <w:num w:numId="20" w16cid:durableId="1155142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A43A8"/>
    <w:rsid w:val="001C0549"/>
    <w:rsid w:val="001E5718"/>
    <w:rsid w:val="0021150C"/>
    <w:rsid w:val="00236AD3"/>
    <w:rsid w:val="002753BE"/>
    <w:rsid w:val="00275570"/>
    <w:rsid w:val="0027720C"/>
    <w:rsid w:val="00283D33"/>
    <w:rsid w:val="002B1A31"/>
    <w:rsid w:val="002D3479"/>
    <w:rsid w:val="00302EBD"/>
    <w:rsid w:val="003148A4"/>
    <w:rsid w:val="003214A6"/>
    <w:rsid w:val="00332901"/>
    <w:rsid w:val="0036304D"/>
    <w:rsid w:val="003A584C"/>
    <w:rsid w:val="00420C47"/>
    <w:rsid w:val="00425560"/>
    <w:rsid w:val="00445AE1"/>
    <w:rsid w:val="004D5AFB"/>
    <w:rsid w:val="004E62EB"/>
    <w:rsid w:val="0059419A"/>
    <w:rsid w:val="005C4ABE"/>
    <w:rsid w:val="005D53C2"/>
    <w:rsid w:val="00614E82"/>
    <w:rsid w:val="006371A3"/>
    <w:rsid w:val="00637218"/>
    <w:rsid w:val="00685C90"/>
    <w:rsid w:val="0069768D"/>
    <w:rsid w:val="006B79BF"/>
    <w:rsid w:val="006C14F9"/>
    <w:rsid w:val="006D0620"/>
    <w:rsid w:val="006E700A"/>
    <w:rsid w:val="006F4896"/>
    <w:rsid w:val="0075450E"/>
    <w:rsid w:val="00791931"/>
    <w:rsid w:val="00802073"/>
    <w:rsid w:val="00816FC7"/>
    <w:rsid w:val="0087181C"/>
    <w:rsid w:val="008F7E36"/>
    <w:rsid w:val="00992873"/>
    <w:rsid w:val="009A41F6"/>
    <w:rsid w:val="00A04886"/>
    <w:rsid w:val="00A6246E"/>
    <w:rsid w:val="00A91A6D"/>
    <w:rsid w:val="00AD3578"/>
    <w:rsid w:val="00AF56E5"/>
    <w:rsid w:val="00B27EC6"/>
    <w:rsid w:val="00B35852"/>
    <w:rsid w:val="00B5210D"/>
    <w:rsid w:val="00B5702A"/>
    <w:rsid w:val="00B660CB"/>
    <w:rsid w:val="00BA185B"/>
    <w:rsid w:val="00BB1C78"/>
    <w:rsid w:val="00BB5DFB"/>
    <w:rsid w:val="00BD0ABA"/>
    <w:rsid w:val="00BE0DE4"/>
    <w:rsid w:val="00C0407B"/>
    <w:rsid w:val="00C117DF"/>
    <w:rsid w:val="00CA1580"/>
    <w:rsid w:val="00CD2035"/>
    <w:rsid w:val="00D171B0"/>
    <w:rsid w:val="00D45F75"/>
    <w:rsid w:val="00D65B18"/>
    <w:rsid w:val="00DC5208"/>
    <w:rsid w:val="00DD1A1A"/>
    <w:rsid w:val="00DF7AA6"/>
    <w:rsid w:val="00E061CF"/>
    <w:rsid w:val="00E60BB6"/>
    <w:rsid w:val="00E66F14"/>
    <w:rsid w:val="00E778F7"/>
    <w:rsid w:val="00EA262C"/>
    <w:rsid w:val="00EA75A1"/>
    <w:rsid w:val="00F03A82"/>
    <w:rsid w:val="00F33B7B"/>
    <w:rsid w:val="00F36A09"/>
    <w:rsid w:val="00F524F0"/>
    <w:rsid w:val="00F57893"/>
    <w:rsid w:val="00F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2023-06-28T21:35:00Z</dcterms:created>
  <dcterms:modified xsi:type="dcterms:W3CDTF">2023-06-28T21:35:00Z</dcterms:modified>
</cp:coreProperties>
</file>