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758D" w14:textId="469863E5" w:rsidR="008238BA" w:rsidRDefault="003835F5">
      <w:r>
        <w:rPr>
          <w:noProof/>
        </w:rPr>
        <mc:AlternateContent>
          <mc:Choice Requires="wps">
            <w:drawing>
              <wp:anchor distT="0" distB="0" distL="114300" distR="114300" simplePos="0" relativeHeight="251659264" behindDoc="0" locked="0" layoutInCell="1" hidden="0" allowOverlap="1" wp14:anchorId="7A176B59" wp14:editId="2C100E1F">
                <wp:simplePos x="0" y="0"/>
                <wp:positionH relativeFrom="column">
                  <wp:posOffset>863600</wp:posOffset>
                </wp:positionH>
                <wp:positionV relativeFrom="paragraph">
                  <wp:posOffset>204585</wp:posOffset>
                </wp:positionV>
                <wp:extent cx="2638425" cy="885825"/>
                <wp:effectExtent l="0" t="0" r="0" b="0"/>
                <wp:wrapSquare wrapText="bothSides" distT="0" distB="0" distL="114300" distR="114300"/>
                <wp:docPr id="351123980" name="Rectangle 351123980"/>
                <wp:cNvGraphicFramePr/>
                <a:graphic xmlns:a="http://schemas.openxmlformats.org/drawingml/2006/main">
                  <a:graphicData uri="http://schemas.microsoft.com/office/word/2010/wordprocessingShape">
                    <wps:wsp>
                      <wps:cNvSpPr/>
                      <wps:spPr>
                        <a:xfrm>
                          <a:off x="0" y="0"/>
                          <a:ext cx="2638425" cy="885825"/>
                        </a:xfrm>
                        <a:prstGeom prst="rect">
                          <a:avLst/>
                        </a:prstGeom>
                        <a:noFill/>
                        <a:ln>
                          <a:noFill/>
                        </a:ln>
                      </wps:spPr>
                      <wps:txbx>
                        <w:txbxContent>
                          <w:p w14:paraId="6BA8864B" w14:textId="77777777" w:rsidR="008238BA" w:rsidRDefault="00000000">
                            <w:pPr>
                              <w:textDirection w:val="btLr"/>
                            </w:pPr>
                            <w:r>
                              <w:rPr>
                                <w:i/>
                                <w:color w:val="323E4F"/>
                                <w:sz w:val="24"/>
                              </w:rPr>
                              <w:t>My Rights and Liberties: SS.7.CG.3.11</w:t>
                            </w:r>
                          </w:p>
                          <w:p w14:paraId="3B34E89A" w14:textId="77777777" w:rsidR="008238BA" w:rsidRDefault="00000000">
                            <w:pPr>
                              <w:textDirection w:val="btLr"/>
                            </w:pPr>
                            <w:r>
                              <w:rPr>
                                <w:b/>
                                <w:i/>
                                <w:color w:val="323E4F"/>
                                <w:sz w:val="24"/>
                              </w:rPr>
                              <w:t>Landmark Supreme Court Cases</w:t>
                            </w:r>
                          </w:p>
                          <w:p w14:paraId="77CC316F" w14:textId="77777777" w:rsidR="008238BA" w:rsidRDefault="00000000">
                            <w:pPr>
                              <w:textDirection w:val="btLr"/>
                            </w:pPr>
                            <w:r>
                              <w:rPr>
                                <w:b/>
                                <w:color w:val="323E4F"/>
                                <w:sz w:val="24"/>
                              </w:rPr>
                              <w:t>READING #1</w:t>
                            </w:r>
                          </w:p>
                        </w:txbxContent>
                      </wps:txbx>
                      <wps:bodyPr spcFirstLastPara="1" wrap="square" lIns="91425" tIns="45700" rIns="91425" bIns="45700" anchor="t" anchorCtr="0">
                        <a:noAutofit/>
                      </wps:bodyPr>
                    </wps:wsp>
                  </a:graphicData>
                </a:graphic>
              </wp:anchor>
            </w:drawing>
          </mc:Choice>
          <mc:Fallback>
            <w:pict>
              <v:rect w14:anchorId="7A176B59" id="Rectangle 351123980" o:spid="_x0000_s1026" style="position:absolute;margin-left:68pt;margin-top:16.1pt;width:207.7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" filled="f" stroked="f">
                <v:textbox inset="2.53958mm,1.2694mm,2.53958mm,1.2694mm">
                  <w:txbxContent>
                    <w:p w14:paraId="6BA8864B" w14:textId="77777777" w:rsidR="008238BA" w:rsidRDefault="00000000">
                      <w:pPr>
                        <w:textDirection w:val="btLr"/>
                      </w:pPr>
                      <w:r>
                        <w:rPr>
                          <w:i/>
                          <w:color w:val="323E4F"/>
                          <w:sz w:val="24"/>
                        </w:rPr>
                        <w:t>My Rights and Liberties: SS.7.CG.3.11</w:t>
                      </w:r>
                    </w:p>
                    <w:p w14:paraId="3B34E89A" w14:textId="77777777" w:rsidR="008238BA" w:rsidRDefault="00000000">
                      <w:pPr>
                        <w:textDirection w:val="btLr"/>
                      </w:pPr>
                      <w:r>
                        <w:rPr>
                          <w:b/>
                          <w:i/>
                          <w:color w:val="323E4F"/>
                          <w:sz w:val="24"/>
                        </w:rPr>
                        <w:t>Landmark Supreme Court Cases</w:t>
                      </w:r>
                    </w:p>
                    <w:p w14:paraId="77CC316F" w14:textId="77777777" w:rsidR="008238BA" w:rsidRDefault="00000000">
                      <w:pPr>
                        <w:textDirection w:val="btLr"/>
                      </w:pPr>
                      <w:r>
                        <w:rPr>
                          <w:b/>
                          <w:color w:val="323E4F"/>
                          <w:sz w:val="24"/>
                        </w:rPr>
                        <w:t>READING #1</w:t>
                      </w:r>
                    </w:p>
                  </w:txbxContent>
                </v:textbox>
                <w10:wrap type="square"/>
              </v:rect>
            </w:pict>
          </mc:Fallback>
        </mc:AlternateContent>
      </w:r>
      <w:r w:rsidR="00000000">
        <w:rPr>
          <w:noProof/>
        </w:rPr>
        <w:drawing>
          <wp:anchor distT="0" distB="0" distL="114300" distR="114300" simplePos="0" relativeHeight="251658240" behindDoc="0" locked="0" layoutInCell="1" hidden="0" allowOverlap="1" wp14:anchorId="25EC89CA" wp14:editId="5F3D2387">
            <wp:simplePos x="0" y="0"/>
            <wp:positionH relativeFrom="margin">
              <wp:posOffset>6350</wp:posOffset>
            </wp:positionH>
            <wp:positionV relativeFrom="margin">
              <wp:posOffset>203200</wp:posOffset>
            </wp:positionV>
            <wp:extent cx="772795" cy="789940"/>
            <wp:effectExtent l="0" t="0" r="0" b="0"/>
            <wp:wrapSquare wrapText="bothSides" distT="0" distB="0" distL="114300" distR="114300"/>
            <wp:docPr id="3511239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2795" cy="789940"/>
                    </a:xfrm>
                    <a:prstGeom prst="rect">
                      <a:avLst/>
                    </a:prstGeom>
                    <a:ln/>
                  </pic:spPr>
                </pic:pic>
              </a:graphicData>
            </a:graphic>
          </wp:anchor>
        </w:drawing>
      </w:r>
      <w:r w:rsidR="00000000">
        <w:rPr>
          <w:noProof/>
        </w:rPr>
        <mc:AlternateContent>
          <mc:Choice Requires="wpg">
            <w:drawing>
              <wp:anchor distT="0" distB="0" distL="114300" distR="114300" simplePos="0" relativeHeight="251660288" behindDoc="0" locked="0" layoutInCell="1" hidden="0" allowOverlap="1" wp14:anchorId="57B05C53" wp14:editId="23D2CFEB">
                <wp:simplePos x="0" y="0"/>
                <wp:positionH relativeFrom="column">
                  <wp:posOffset>3492500</wp:posOffset>
                </wp:positionH>
                <wp:positionV relativeFrom="paragraph">
                  <wp:posOffset>241300</wp:posOffset>
                </wp:positionV>
                <wp:extent cx="2549525" cy="695325"/>
                <wp:effectExtent l="0" t="0" r="0" b="0"/>
                <wp:wrapSquare wrapText="bothSides" distT="0" distB="0" distL="114300" distR="114300"/>
                <wp:docPr id="351123984" name="Rectangle 351123984"/>
                <wp:cNvGraphicFramePr/>
                <a:graphic xmlns:a="http://schemas.openxmlformats.org/drawingml/2006/main">
                  <a:graphicData uri="http://schemas.microsoft.com/office/word/2010/wordprocessingShape">
                    <wps:wsp>
                      <wps:cNvSpPr/>
                      <wps:spPr>
                        <a:xfrm>
                          <a:off x="4076000" y="3437100"/>
                          <a:ext cx="2540000" cy="685800"/>
                        </a:xfrm>
                        <a:prstGeom prst="rect">
                          <a:avLst/>
                        </a:prstGeom>
                        <a:noFill/>
                        <a:ln>
                          <a:noFill/>
                        </a:ln>
                      </wps:spPr>
                      <wps:txbx>
                        <w:txbxContent>
                          <w:p w14:paraId="3AE32F08" w14:textId="77777777" w:rsidR="008238BA" w:rsidRDefault="00000000">
                            <w:pPr>
                              <w:textDirection w:val="btLr"/>
                            </w:pPr>
                            <w:r>
                              <w:rPr>
                                <w:color w:val="000000"/>
                              </w:rPr>
                              <w:t>Name: ________________________</w:t>
                            </w:r>
                          </w:p>
                          <w:p w14:paraId="389024D7" w14:textId="77777777" w:rsidR="008238BA" w:rsidRDefault="008238BA">
                            <w:pPr>
                              <w:textDirection w:val="btLr"/>
                            </w:pPr>
                          </w:p>
                          <w:p w14:paraId="0CE22B45" w14:textId="77777777" w:rsidR="008238BA" w:rsidRDefault="00000000">
                            <w:pPr>
                              <w:textDirection w:val="btLr"/>
                            </w:pPr>
                            <w:r>
                              <w:rPr>
                                <w:color w:val="000000"/>
                              </w:rPr>
                              <w:t>Date: 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241300</wp:posOffset>
                </wp:positionV>
                <wp:extent cx="2549525" cy="695325"/>
                <wp:effectExtent b="0" l="0" r="0" t="0"/>
                <wp:wrapSquare wrapText="bothSides" distB="0" distT="0" distL="114300" distR="114300"/>
                <wp:docPr id="35112398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549525" cy="695325"/>
                        </a:xfrm>
                        <a:prstGeom prst="rect"/>
                        <a:ln/>
                      </pic:spPr>
                    </pic:pic>
                  </a:graphicData>
                </a:graphic>
              </wp:anchor>
            </w:drawing>
          </mc:Fallback>
        </mc:AlternateContent>
      </w:r>
      <w:r w:rsidR="00000000">
        <w:rPr>
          <w:noProof/>
        </w:rPr>
        <w:drawing>
          <wp:anchor distT="0" distB="0" distL="114300" distR="114300" simplePos="0" relativeHeight="251661312" behindDoc="0" locked="0" layoutInCell="1" hidden="0" allowOverlap="1" wp14:anchorId="697F3632" wp14:editId="504F1579">
            <wp:simplePos x="0" y="0"/>
            <wp:positionH relativeFrom="column">
              <wp:posOffset>5892800</wp:posOffset>
            </wp:positionH>
            <wp:positionV relativeFrom="paragraph">
              <wp:posOffset>118110</wp:posOffset>
            </wp:positionV>
            <wp:extent cx="930910" cy="812165"/>
            <wp:effectExtent l="0" t="0" r="0" b="0"/>
            <wp:wrapSquare wrapText="bothSides" distT="0" distB="0" distL="114300" distR="114300"/>
            <wp:docPr id="351123985" name="image1.png" descr="A picture containing sketch, black, design, black and wh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ketch, black, design, black and white&#10;&#10;Description automatically generated"/>
                    <pic:cNvPicPr preferRelativeResize="0"/>
                  </pic:nvPicPr>
                  <pic:blipFill>
                    <a:blip r:embed="rId10"/>
                    <a:srcRect/>
                    <a:stretch>
                      <a:fillRect/>
                    </a:stretch>
                  </pic:blipFill>
                  <pic:spPr>
                    <a:xfrm>
                      <a:off x="0" y="0"/>
                      <a:ext cx="930910" cy="812165"/>
                    </a:xfrm>
                    <a:prstGeom prst="rect">
                      <a:avLst/>
                    </a:prstGeom>
                    <a:ln/>
                  </pic:spPr>
                </pic:pic>
              </a:graphicData>
            </a:graphic>
          </wp:anchor>
        </w:drawing>
      </w:r>
    </w:p>
    <w:p w14:paraId="6AD17B63" w14:textId="77777777" w:rsidR="008238BA" w:rsidRDefault="008238BA">
      <w:pPr>
        <w:tabs>
          <w:tab w:val="left" w:pos="7960"/>
        </w:tabs>
      </w:pPr>
    </w:p>
    <w:p w14:paraId="017764A7" w14:textId="1A849451" w:rsidR="008238BA" w:rsidRDefault="003835F5">
      <w:r w:rsidRPr="00425560">
        <w:rPr>
          <w:i/>
          <w:noProof/>
          <w:color w:val="F23F27"/>
          <w:sz w:val="28"/>
          <w:szCs w:val="28"/>
        </w:rPr>
        <mc:AlternateContent>
          <mc:Choice Requires="wps">
            <w:drawing>
              <wp:anchor distT="0" distB="0" distL="114300" distR="114300" simplePos="0" relativeHeight="251666432" behindDoc="0" locked="0" layoutInCell="1" allowOverlap="1" wp14:anchorId="322A1BF9" wp14:editId="03482D71">
                <wp:simplePos x="0" y="0"/>
                <wp:positionH relativeFrom="margin">
                  <wp:posOffset>975475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F957F32" id="Straight Connector 15"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6.8pt,.95pt" to="454.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" strokecolor="#bc3700" strokeweight="2.25pt">
                <v:stroke joinstyle="miter"/>
                <w10:wrap anchorx="margin"/>
              </v:line>
            </w:pict>
          </mc:Fallback>
        </mc:AlternateContent>
      </w:r>
      <w:r w:rsidR="00000000">
        <w:rPr>
          <w:noProof/>
        </w:rPr>
        <mc:AlternateContent>
          <mc:Choice Requires="wps">
            <w:drawing>
              <wp:anchor distT="0" distB="0" distL="114300" distR="114300" simplePos="0" relativeHeight="251662336" behindDoc="0" locked="0" layoutInCell="1" hidden="0" allowOverlap="1" wp14:anchorId="04F79FB9" wp14:editId="6B3AB174">
                <wp:simplePos x="0" y="0"/>
                <wp:positionH relativeFrom="column">
                  <wp:posOffset>-74815</wp:posOffset>
                </wp:positionH>
                <wp:positionV relativeFrom="paragraph">
                  <wp:posOffset>180917</wp:posOffset>
                </wp:positionV>
                <wp:extent cx="6972300" cy="764771"/>
                <wp:effectExtent l="0" t="0" r="12700" b="10160"/>
                <wp:wrapNone/>
                <wp:docPr id="351123981" name="Rectangle 351123981"/>
                <wp:cNvGraphicFramePr/>
                <a:graphic xmlns:a="http://schemas.openxmlformats.org/drawingml/2006/main">
                  <a:graphicData uri="http://schemas.microsoft.com/office/word/2010/wordprocessingShape">
                    <wps:wsp>
                      <wps:cNvSpPr/>
                      <wps:spPr>
                        <a:xfrm>
                          <a:off x="0" y="0"/>
                          <a:ext cx="6972300" cy="764771"/>
                        </a:xfrm>
                        <a:prstGeom prst="rect">
                          <a:avLst/>
                        </a:prstGeom>
                        <a:noFill/>
                        <a:ln w="12700" cap="flat" cmpd="sng">
                          <a:solidFill>
                            <a:schemeClr val="dk1"/>
                          </a:solidFill>
                          <a:prstDash val="solid"/>
                          <a:miter lim="800000"/>
                          <a:headEnd type="none" w="sm" len="sm"/>
                          <a:tailEnd type="none" w="sm" len="sm"/>
                        </a:ln>
                      </wps:spPr>
                      <wps:txbx>
                        <w:txbxContent>
                          <w:p w14:paraId="087D601F" w14:textId="77777777" w:rsidR="008238BA" w:rsidRDefault="00000000">
                            <w:pPr>
                              <w:spacing w:line="237" w:lineRule="auto"/>
                              <w:ind w:right="422"/>
                              <w:textDirection w:val="btLr"/>
                            </w:pPr>
                            <w:r>
                              <w:rPr>
                                <w:b/>
                                <w:i/>
                                <w:color w:val="000000"/>
                                <w:sz w:val="24"/>
                              </w:rPr>
                              <w:t>SS.7.CG.3.11 Benchmark Clarification 1</w:t>
                            </w:r>
                            <w:r>
                              <w:rPr>
                                <w:i/>
                                <w:color w:val="000000"/>
                                <w:sz w:val="24"/>
                              </w:rPr>
                              <w:t xml:space="preserve">: </w:t>
                            </w:r>
                            <w:r>
                              <w:rPr>
                                <w:color w:val="000000"/>
                                <w:sz w:val="24"/>
                              </w:rPr>
                              <w:t>Students will recognize landmark Supreme Court cases (e.g., Dred Scott v. Sandford; Plessy v. Ferguson; Brown v. Board of Education; Gideon v. Wainwright; Miranda v. Arizona; In re Gault; United States v. Nixon; Hazelwood v. Kuhlmeier).</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4F79FB9" id="Rectangle 351123981" o:spid="_x0000_s1028" style="position:absolute;margin-left:-5.9pt;margin-top:14.25pt;width:549pt;height: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" filled="f" strokecolor="black [3200]" strokeweight="1pt">
                <v:stroke startarrowwidth="narrow" startarrowlength="short" endarrowwidth="narrow" endarrowlength="short"/>
                <v:textbox inset="2.53958mm,1.2694mm,2.53958mm,1.2694mm">
                  <w:txbxContent>
                    <w:p w14:paraId="087D601F" w14:textId="77777777" w:rsidR="008238BA" w:rsidRDefault="00000000">
                      <w:pPr>
                        <w:spacing w:line="237" w:lineRule="auto"/>
                        <w:ind w:right="422"/>
                        <w:textDirection w:val="btLr"/>
                      </w:pPr>
                      <w:r>
                        <w:rPr>
                          <w:b/>
                          <w:i/>
                          <w:color w:val="000000"/>
                          <w:sz w:val="24"/>
                        </w:rPr>
                        <w:t>SS.7.CG.3.11 Benchmark Clarification 1</w:t>
                      </w:r>
                      <w:r>
                        <w:rPr>
                          <w:i/>
                          <w:color w:val="000000"/>
                          <w:sz w:val="24"/>
                        </w:rPr>
                        <w:t xml:space="preserve">: </w:t>
                      </w:r>
                      <w:r>
                        <w:rPr>
                          <w:color w:val="000000"/>
                          <w:sz w:val="24"/>
                        </w:rPr>
                        <w:t>Students will recognize landmark Supreme Court cases (e.g., Dred Scott v. Sandford; Plessy v. Ferguson; Brown v. Board of Education; Gideon v. Wainwright; Miranda v. Arizona; In re Gault; United States v. Nixon; Hazelwood v. Kuhlmeier).</w:t>
                      </w:r>
                    </w:p>
                  </w:txbxContent>
                </v:textbox>
              </v:rect>
            </w:pict>
          </mc:Fallback>
        </mc:AlternateContent>
      </w:r>
    </w:p>
    <w:p w14:paraId="5C5D0C7E" w14:textId="77777777" w:rsidR="008238BA" w:rsidRDefault="008238BA"/>
    <w:p w14:paraId="78B535F5" w14:textId="77777777" w:rsidR="008238BA" w:rsidRDefault="008238BA">
      <w:pPr>
        <w:spacing w:before="92" w:line="242" w:lineRule="auto"/>
        <w:ind w:right="96"/>
        <w:rPr>
          <w:color w:val="000000"/>
          <w:sz w:val="20"/>
          <w:szCs w:val="20"/>
        </w:rPr>
      </w:pPr>
    </w:p>
    <w:p w14:paraId="5AE3EACB" w14:textId="77777777" w:rsidR="008238BA" w:rsidRDefault="008238BA">
      <w:pPr>
        <w:pBdr>
          <w:top w:val="nil"/>
          <w:left w:val="nil"/>
          <w:bottom w:val="nil"/>
          <w:right w:val="nil"/>
          <w:between w:val="nil"/>
        </w:pBdr>
        <w:spacing w:before="145" w:line="237" w:lineRule="auto"/>
        <w:ind w:right="483"/>
        <w:rPr>
          <w:color w:val="000000"/>
          <w:sz w:val="24"/>
          <w:szCs w:val="24"/>
        </w:rPr>
      </w:pPr>
    </w:p>
    <w:p w14:paraId="035F9B8D" w14:textId="77777777" w:rsidR="003835F5" w:rsidRDefault="003835F5">
      <w:pPr>
        <w:spacing w:before="94" w:line="237" w:lineRule="auto"/>
        <w:ind w:right="423"/>
        <w:rPr>
          <w:sz w:val="24"/>
          <w:szCs w:val="24"/>
        </w:rPr>
      </w:pPr>
    </w:p>
    <w:p w14:paraId="1E608510" w14:textId="20B964E0" w:rsidR="008238BA" w:rsidRDefault="00000000">
      <w:pPr>
        <w:spacing w:before="94" w:line="237" w:lineRule="auto"/>
        <w:ind w:right="423"/>
        <w:rPr>
          <w:sz w:val="24"/>
          <w:szCs w:val="24"/>
        </w:rPr>
      </w:pPr>
      <w:r>
        <w:rPr>
          <w:noProof/>
        </w:rPr>
        <mc:AlternateContent>
          <mc:Choice Requires="wps">
            <w:drawing>
              <wp:anchor distT="0" distB="0" distL="0" distR="0" simplePos="0" relativeHeight="251664384" behindDoc="0" locked="0" layoutInCell="1" hidden="0" allowOverlap="1" wp14:anchorId="709234A2" wp14:editId="7095A8B2">
                <wp:simplePos x="0" y="0"/>
                <wp:positionH relativeFrom="column">
                  <wp:posOffset>-62865</wp:posOffset>
                </wp:positionH>
                <wp:positionV relativeFrom="paragraph">
                  <wp:posOffset>4741025</wp:posOffset>
                </wp:positionV>
                <wp:extent cx="6909435" cy="1876425"/>
                <wp:effectExtent l="0" t="0" r="12065" b="15875"/>
                <wp:wrapTopAndBottom distT="0" distB="0"/>
                <wp:docPr id="351123983" name="Rectangle 351123983"/>
                <wp:cNvGraphicFramePr/>
                <a:graphic xmlns:a="http://schemas.openxmlformats.org/drawingml/2006/main">
                  <a:graphicData uri="http://schemas.microsoft.com/office/word/2010/wordprocessingShape">
                    <wps:wsp>
                      <wps:cNvSpPr/>
                      <wps:spPr>
                        <a:xfrm>
                          <a:off x="0" y="0"/>
                          <a:ext cx="6909435" cy="1876425"/>
                        </a:xfrm>
                        <a:prstGeom prst="rect">
                          <a:avLst/>
                        </a:prstGeom>
                        <a:noFill/>
                        <a:ln w="9525" cap="flat" cmpd="sng">
                          <a:solidFill>
                            <a:srgbClr val="000000"/>
                          </a:solidFill>
                          <a:prstDash val="solid"/>
                          <a:miter lim="800000"/>
                          <a:headEnd type="none" w="sm" len="sm"/>
                          <a:tailEnd type="none" w="sm" len="sm"/>
                        </a:ln>
                      </wps:spPr>
                      <wps:txbx>
                        <w:txbxContent>
                          <w:p w14:paraId="60156277" w14:textId="77777777" w:rsidR="008238BA" w:rsidRDefault="00000000">
                            <w:pPr>
                              <w:spacing w:before="80" w:line="275" w:lineRule="auto"/>
                              <w:textDirection w:val="btLr"/>
                            </w:pPr>
                            <w:r>
                              <w:rPr>
                                <w:b/>
                                <w:color w:val="000000"/>
                                <w:sz w:val="20"/>
                              </w:rPr>
                              <w:t xml:space="preserve">  </w:t>
                            </w:r>
                            <w:r>
                              <w:rPr>
                                <w:b/>
                                <w:color w:val="000000"/>
                                <w:sz w:val="20"/>
                                <w:u w:val="single"/>
                              </w:rPr>
                              <w:t>censor</w:t>
                            </w:r>
                            <w:r>
                              <w:rPr>
                                <w:color w:val="000000"/>
                                <w:sz w:val="20"/>
                              </w:rPr>
                              <w:t xml:space="preserve"> – to limit</w:t>
                            </w:r>
                          </w:p>
                          <w:p w14:paraId="2F6F5C67" w14:textId="77777777" w:rsidR="008238BA" w:rsidRDefault="00000000">
                            <w:pPr>
                              <w:spacing w:before="80" w:line="275" w:lineRule="auto"/>
                              <w:ind w:left="143" w:firstLine="143"/>
                              <w:textDirection w:val="btLr"/>
                            </w:pPr>
                            <w:r>
                              <w:rPr>
                                <w:b/>
                                <w:color w:val="000000"/>
                                <w:sz w:val="20"/>
                                <w:u w:val="single"/>
                              </w:rPr>
                              <w:t>judicial review</w:t>
                            </w:r>
                            <w:r>
                              <w:rPr>
                                <w:b/>
                                <w:color w:val="000000"/>
                                <w:sz w:val="20"/>
                              </w:rPr>
                              <w:t xml:space="preserve"> </w:t>
                            </w:r>
                            <w:r>
                              <w:rPr>
                                <w:color w:val="000000"/>
                                <w:sz w:val="20"/>
                              </w:rPr>
                              <w:t xml:space="preserve">- the power of the judicial branch to review the actions of the executive and legislative branches and determine </w:t>
                            </w:r>
                            <w:proofErr w:type="gramStart"/>
                            <w:r>
                              <w:rPr>
                                <w:color w:val="000000"/>
                                <w:sz w:val="20"/>
                              </w:rPr>
                              <w:t>whether or not</w:t>
                            </w:r>
                            <w:proofErr w:type="gramEnd"/>
                            <w:r>
                              <w:rPr>
                                <w:color w:val="000000"/>
                                <w:sz w:val="20"/>
                              </w:rPr>
                              <w:t xml:space="preserve"> they are unconstitutional (this includes laws passed by Congress).</w:t>
                            </w:r>
                          </w:p>
                          <w:p w14:paraId="5E38A7D8" w14:textId="77777777" w:rsidR="008238BA" w:rsidRDefault="00000000">
                            <w:pPr>
                              <w:spacing w:before="80" w:line="275" w:lineRule="auto"/>
                              <w:ind w:left="143" w:firstLine="143"/>
                              <w:textDirection w:val="btLr"/>
                            </w:pPr>
                            <w:r>
                              <w:rPr>
                                <w:b/>
                                <w:color w:val="000000"/>
                                <w:sz w:val="20"/>
                                <w:u w:val="single"/>
                              </w:rPr>
                              <w:t>Miranda Warning</w:t>
                            </w:r>
                            <w:r>
                              <w:rPr>
                                <w:color w:val="000000"/>
                                <w:sz w:val="20"/>
                              </w:rPr>
                              <w:t xml:space="preserve"> - The Miranda Warning is a police warning which is given to criminal suspects who are in the custody of law enforcement in the United States before they can ask questions regarding what took place during the crime. “You have the right to remain silent. Anything you say can and will be used against you in a court of law. You have the right to an attorney. If you cannot afford an attorney, one will be provided for you.</w:t>
                            </w:r>
                          </w:p>
                          <w:p w14:paraId="3E8BEDCC" w14:textId="77777777" w:rsidR="008238BA" w:rsidRDefault="00000000">
                            <w:pPr>
                              <w:spacing w:before="80" w:line="275" w:lineRule="auto"/>
                              <w:textDirection w:val="btLr"/>
                            </w:pPr>
                            <w:r>
                              <w:rPr>
                                <w:b/>
                                <w:color w:val="000000"/>
                                <w:sz w:val="20"/>
                              </w:rPr>
                              <w:t xml:space="preserve">  </w:t>
                            </w:r>
                            <w:r>
                              <w:rPr>
                                <w:b/>
                                <w:color w:val="000000"/>
                                <w:sz w:val="20"/>
                                <w:u w:val="single"/>
                              </w:rPr>
                              <w:t>overturn</w:t>
                            </w:r>
                            <w:r>
                              <w:rPr>
                                <w:color w:val="000000"/>
                                <w:sz w:val="20"/>
                              </w:rPr>
                              <w:t xml:space="preserve"> – to reverse or </w:t>
                            </w:r>
                            <w:proofErr w:type="gramStart"/>
                            <w:r>
                              <w:rPr>
                                <w:color w:val="000000"/>
                                <w:sz w:val="20"/>
                              </w:rPr>
                              <w:t>undo</w:t>
                            </w:r>
                            <w:proofErr w:type="gramEnd"/>
                          </w:p>
                          <w:p w14:paraId="192E8D45" w14:textId="77777777" w:rsidR="008238BA" w:rsidRDefault="00000000">
                            <w:pPr>
                              <w:spacing w:before="80" w:line="275" w:lineRule="auto"/>
                              <w:textDirection w:val="btLr"/>
                            </w:pPr>
                            <w:r>
                              <w:rPr>
                                <w:b/>
                                <w:color w:val="000000"/>
                                <w:sz w:val="20"/>
                              </w:rPr>
                              <w:t xml:space="preserve">  </w:t>
                            </w:r>
                            <w:r>
                              <w:rPr>
                                <w:b/>
                                <w:color w:val="000000"/>
                                <w:sz w:val="20"/>
                                <w:u w:val="single"/>
                              </w:rPr>
                              <w:t>uphold</w:t>
                            </w:r>
                            <w:r>
                              <w:rPr>
                                <w:color w:val="000000"/>
                                <w:sz w:val="20"/>
                              </w:rPr>
                              <w:t xml:space="preserve"> – to </w:t>
                            </w:r>
                            <w:proofErr w:type="gramStart"/>
                            <w:r>
                              <w:rPr>
                                <w:color w:val="000000"/>
                                <w:sz w:val="20"/>
                              </w:rPr>
                              <w:t>agree</w:t>
                            </w:r>
                            <w:proofErr w:type="gramEnd"/>
                          </w:p>
                          <w:p w14:paraId="29EE4198" w14:textId="77777777" w:rsidR="008238BA" w:rsidRDefault="008238BA">
                            <w:pPr>
                              <w:spacing w:before="148" w:line="275" w:lineRule="auto"/>
                              <w:ind w:left="143" w:right="241" w:firstLine="430"/>
                              <w:textDirection w:val="btLr"/>
                            </w:pPr>
                          </w:p>
                        </w:txbxContent>
                      </wps:txbx>
                      <wps:bodyPr spcFirstLastPara="1" wrap="square" lIns="0" tIns="0" rIns="0" bIns="0" anchor="t" anchorCtr="0">
                        <a:noAutofit/>
                      </wps:bodyPr>
                    </wps:wsp>
                  </a:graphicData>
                </a:graphic>
              </wp:anchor>
            </w:drawing>
          </mc:Choice>
          <mc:Fallback>
            <w:pict>
              <v:rect w14:anchorId="709234A2" id="Rectangle 351123983" o:spid="_x0000_s1029" style="position:absolute;margin-left:-4.95pt;margin-top:373.3pt;width:544.05pt;height:147.7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" filled="f">
                <v:stroke startarrowwidth="narrow" startarrowlength="short" endarrowwidth="narrow" endarrowlength="short"/>
                <v:textbox inset="0,0,0,0">
                  <w:txbxContent>
                    <w:p w14:paraId="60156277" w14:textId="77777777" w:rsidR="008238BA" w:rsidRDefault="00000000">
                      <w:pPr>
                        <w:spacing w:before="80" w:line="275" w:lineRule="auto"/>
                        <w:textDirection w:val="btLr"/>
                      </w:pPr>
                      <w:r>
                        <w:rPr>
                          <w:b/>
                          <w:color w:val="000000"/>
                          <w:sz w:val="20"/>
                        </w:rPr>
                        <w:t xml:space="preserve">  </w:t>
                      </w:r>
                      <w:r>
                        <w:rPr>
                          <w:b/>
                          <w:color w:val="000000"/>
                          <w:sz w:val="20"/>
                          <w:u w:val="single"/>
                        </w:rPr>
                        <w:t>censor</w:t>
                      </w:r>
                      <w:r>
                        <w:rPr>
                          <w:color w:val="000000"/>
                          <w:sz w:val="20"/>
                        </w:rPr>
                        <w:t xml:space="preserve"> – to limit</w:t>
                      </w:r>
                    </w:p>
                    <w:p w14:paraId="2F6F5C67" w14:textId="77777777" w:rsidR="008238BA" w:rsidRDefault="00000000">
                      <w:pPr>
                        <w:spacing w:before="80" w:line="275" w:lineRule="auto"/>
                        <w:ind w:left="143" w:firstLine="143"/>
                        <w:textDirection w:val="btLr"/>
                      </w:pPr>
                      <w:r>
                        <w:rPr>
                          <w:b/>
                          <w:color w:val="000000"/>
                          <w:sz w:val="20"/>
                          <w:u w:val="single"/>
                        </w:rPr>
                        <w:t>judicial review</w:t>
                      </w:r>
                      <w:r>
                        <w:rPr>
                          <w:b/>
                          <w:color w:val="000000"/>
                          <w:sz w:val="20"/>
                        </w:rPr>
                        <w:t xml:space="preserve"> </w:t>
                      </w:r>
                      <w:r>
                        <w:rPr>
                          <w:color w:val="000000"/>
                          <w:sz w:val="20"/>
                        </w:rPr>
                        <w:t xml:space="preserve">- the power of the judicial branch to review the actions of the executive and legislative branches and determine </w:t>
                      </w:r>
                      <w:proofErr w:type="gramStart"/>
                      <w:r>
                        <w:rPr>
                          <w:color w:val="000000"/>
                          <w:sz w:val="20"/>
                        </w:rPr>
                        <w:t>whether or not</w:t>
                      </w:r>
                      <w:proofErr w:type="gramEnd"/>
                      <w:r>
                        <w:rPr>
                          <w:color w:val="000000"/>
                          <w:sz w:val="20"/>
                        </w:rPr>
                        <w:t xml:space="preserve"> they are unconstitutional (this includes laws passed by Congress).</w:t>
                      </w:r>
                    </w:p>
                    <w:p w14:paraId="5E38A7D8" w14:textId="77777777" w:rsidR="008238BA" w:rsidRDefault="00000000">
                      <w:pPr>
                        <w:spacing w:before="80" w:line="275" w:lineRule="auto"/>
                        <w:ind w:left="143" w:firstLine="143"/>
                        <w:textDirection w:val="btLr"/>
                      </w:pPr>
                      <w:r>
                        <w:rPr>
                          <w:b/>
                          <w:color w:val="000000"/>
                          <w:sz w:val="20"/>
                          <w:u w:val="single"/>
                        </w:rPr>
                        <w:t>Miranda Warning</w:t>
                      </w:r>
                      <w:r>
                        <w:rPr>
                          <w:color w:val="000000"/>
                          <w:sz w:val="20"/>
                        </w:rPr>
                        <w:t xml:space="preserve"> - The Miranda Warning is a police warning which is given to criminal suspects who are in the custody of law enforcement in the United States before they can ask questions regarding what took place during the crime. “You have the right to remain silent. Anything you say can and will be used against you in a court of law. You have the right to an attorney. If you cannot afford an attorney, one will be provided for you.</w:t>
                      </w:r>
                    </w:p>
                    <w:p w14:paraId="3E8BEDCC" w14:textId="77777777" w:rsidR="008238BA" w:rsidRDefault="00000000">
                      <w:pPr>
                        <w:spacing w:before="80" w:line="275" w:lineRule="auto"/>
                        <w:textDirection w:val="btLr"/>
                      </w:pPr>
                      <w:r>
                        <w:rPr>
                          <w:b/>
                          <w:color w:val="000000"/>
                          <w:sz w:val="20"/>
                        </w:rPr>
                        <w:t xml:space="preserve">  </w:t>
                      </w:r>
                      <w:r>
                        <w:rPr>
                          <w:b/>
                          <w:color w:val="000000"/>
                          <w:sz w:val="20"/>
                          <w:u w:val="single"/>
                        </w:rPr>
                        <w:t>overturn</w:t>
                      </w:r>
                      <w:r>
                        <w:rPr>
                          <w:color w:val="000000"/>
                          <w:sz w:val="20"/>
                        </w:rPr>
                        <w:t xml:space="preserve"> – to reverse or </w:t>
                      </w:r>
                      <w:proofErr w:type="gramStart"/>
                      <w:r>
                        <w:rPr>
                          <w:color w:val="000000"/>
                          <w:sz w:val="20"/>
                        </w:rPr>
                        <w:t>undo</w:t>
                      </w:r>
                      <w:proofErr w:type="gramEnd"/>
                    </w:p>
                    <w:p w14:paraId="192E8D45" w14:textId="77777777" w:rsidR="008238BA" w:rsidRDefault="00000000">
                      <w:pPr>
                        <w:spacing w:before="80" w:line="275" w:lineRule="auto"/>
                        <w:textDirection w:val="btLr"/>
                      </w:pPr>
                      <w:r>
                        <w:rPr>
                          <w:b/>
                          <w:color w:val="000000"/>
                          <w:sz w:val="20"/>
                        </w:rPr>
                        <w:t xml:space="preserve">  </w:t>
                      </w:r>
                      <w:r>
                        <w:rPr>
                          <w:b/>
                          <w:color w:val="000000"/>
                          <w:sz w:val="20"/>
                          <w:u w:val="single"/>
                        </w:rPr>
                        <w:t>uphold</w:t>
                      </w:r>
                      <w:r>
                        <w:rPr>
                          <w:color w:val="000000"/>
                          <w:sz w:val="20"/>
                        </w:rPr>
                        <w:t xml:space="preserve"> – to </w:t>
                      </w:r>
                      <w:proofErr w:type="gramStart"/>
                      <w:r>
                        <w:rPr>
                          <w:color w:val="000000"/>
                          <w:sz w:val="20"/>
                        </w:rPr>
                        <w:t>agree</w:t>
                      </w:r>
                      <w:proofErr w:type="gramEnd"/>
                    </w:p>
                    <w:p w14:paraId="29EE4198" w14:textId="77777777" w:rsidR="008238BA" w:rsidRDefault="008238BA">
                      <w:pPr>
                        <w:spacing w:before="148" w:line="275" w:lineRule="auto"/>
                        <w:ind w:left="143" w:right="241" w:firstLine="430"/>
                        <w:textDirection w:val="btLr"/>
                      </w:pPr>
                    </w:p>
                  </w:txbxContent>
                </v:textbox>
                <w10:wrap type="topAndBottom"/>
              </v:rect>
            </w:pict>
          </mc:Fallback>
        </mc:AlternateContent>
      </w:r>
    </w:p>
    <w:tbl>
      <w:tblPr>
        <w:tblStyle w:val="a"/>
        <w:tblW w:w="108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7380"/>
      </w:tblGrid>
      <w:tr w:rsidR="008238BA" w14:paraId="7634E1D1" w14:textId="77777777">
        <w:tc>
          <w:tcPr>
            <w:tcW w:w="3510" w:type="dxa"/>
            <w:vAlign w:val="center"/>
          </w:tcPr>
          <w:p w14:paraId="77DD6856" w14:textId="77777777" w:rsidR="008238BA" w:rsidRDefault="00000000">
            <w:pPr>
              <w:jc w:val="center"/>
              <w:rPr>
                <w:b/>
                <w:sz w:val="24"/>
                <w:szCs w:val="24"/>
              </w:rPr>
            </w:pPr>
            <w:r>
              <w:rPr>
                <w:b/>
                <w:sz w:val="24"/>
                <w:szCs w:val="24"/>
              </w:rPr>
              <w:t>Case</w:t>
            </w:r>
          </w:p>
        </w:tc>
        <w:tc>
          <w:tcPr>
            <w:tcW w:w="7380" w:type="dxa"/>
            <w:vAlign w:val="center"/>
          </w:tcPr>
          <w:p w14:paraId="03F8ADEC" w14:textId="77777777" w:rsidR="008238BA" w:rsidRDefault="00000000">
            <w:pPr>
              <w:jc w:val="center"/>
              <w:rPr>
                <w:b/>
                <w:sz w:val="24"/>
                <w:szCs w:val="24"/>
              </w:rPr>
            </w:pPr>
            <w:r>
              <w:rPr>
                <w:b/>
                <w:sz w:val="24"/>
                <w:szCs w:val="24"/>
              </w:rPr>
              <w:t>Outcome</w:t>
            </w:r>
          </w:p>
        </w:tc>
      </w:tr>
      <w:tr w:rsidR="008238BA" w14:paraId="77250574" w14:textId="77777777">
        <w:tc>
          <w:tcPr>
            <w:tcW w:w="3510" w:type="dxa"/>
          </w:tcPr>
          <w:p w14:paraId="65C7F9C6" w14:textId="77777777" w:rsidR="008238BA" w:rsidRDefault="00000000">
            <w:pPr>
              <w:rPr>
                <w:b/>
              </w:rPr>
            </w:pPr>
            <w:r>
              <w:rPr>
                <w:b/>
              </w:rPr>
              <w:t>Dred Scott v. Sanford</w:t>
            </w:r>
          </w:p>
          <w:p w14:paraId="43C5FB85" w14:textId="77777777" w:rsidR="008238BA" w:rsidRDefault="00000000">
            <w:pPr>
              <w:rPr>
                <w:b/>
              </w:rPr>
            </w:pPr>
            <w:r>
              <w:rPr>
                <w:b/>
              </w:rPr>
              <w:t>(1857)</w:t>
            </w:r>
          </w:p>
        </w:tc>
        <w:tc>
          <w:tcPr>
            <w:tcW w:w="7380" w:type="dxa"/>
          </w:tcPr>
          <w:p w14:paraId="1D4EE7F3" w14:textId="77777777" w:rsidR="008238BA" w:rsidRDefault="00000000">
            <w:r>
              <w:t>Landmark case that determined former slaves did not have standing in federal courts because they lacked U.S. citizenship, even after they were freed.</w:t>
            </w:r>
          </w:p>
        </w:tc>
      </w:tr>
      <w:tr w:rsidR="008238BA" w14:paraId="39111707" w14:textId="77777777">
        <w:tc>
          <w:tcPr>
            <w:tcW w:w="3510" w:type="dxa"/>
          </w:tcPr>
          <w:p w14:paraId="624F2B79" w14:textId="77777777" w:rsidR="008238BA" w:rsidRDefault="00000000">
            <w:pPr>
              <w:rPr>
                <w:b/>
              </w:rPr>
            </w:pPr>
            <w:r>
              <w:rPr>
                <w:b/>
              </w:rPr>
              <w:t>Plessy v. Ferguson</w:t>
            </w:r>
          </w:p>
          <w:p w14:paraId="1243B639" w14:textId="77777777" w:rsidR="008238BA" w:rsidRDefault="00000000">
            <w:pPr>
              <w:rPr>
                <w:b/>
              </w:rPr>
            </w:pPr>
            <w:r>
              <w:rPr>
                <w:b/>
              </w:rPr>
              <w:t>(1896)</w:t>
            </w:r>
          </w:p>
        </w:tc>
        <w:tc>
          <w:tcPr>
            <w:tcW w:w="7380" w:type="dxa"/>
          </w:tcPr>
          <w:p w14:paraId="4AB26673" w14:textId="77777777" w:rsidR="008238BA" w:rsidRDefault="00000000">
            <w:r>
              <w:t>Landmark case that determined “separate but equal” segregation did not violate the equal protection clause of the 14th Amendment. The case determined it was constitutional to provide separate accommodations for the white and colored races.</w:t>
            </w:r>
          </w:p>
        </w:tc>
      </w:tr>
      <w:tr w:rsidR="008238BA" w14:paraId="55D99EB3" w14:textId="77777777">
        <w:tc>
          <w:tcPr>
            <w:tcW w:w="3510" w:type="dxa"/>
          </w:tcPr>
          <w:p w14:paraId="5FAD4BCC" w14:textId="77777777" w:rsidR="008238BA" w:rsidRDefault="00000000">
            <w:pPr>
              <w:rPr>
                <w:b/>
              </w:rPr>
            </w:pPr>
            <w:r>
              <w:rPr>
                <w:b/>
              </w:rPr>
              <w:t>Brown v. Board of Education</w:t>
            </w:r>
          </w:p>
          <w:p w14:paraId="1641AC4D" w14:textId="77777777" w:rsidR="008238BA" w:rsidRDefault="00000000">
            <w:pPr>
              <w:rPr>
                <w:b/>
              </w:rPr>
            </w:pPr>
            <w:r>
              <w:rPr>
                <w:b/>
              </w:rPr>
              <w:t>(1954)</w:t>
            </w:r>
          </w:p>
        </w:tc>
        <w:tc>
          <w:tcPr>
            <w:tcW w:w="7380" w:type="dxa"/>
          </w:tcPr>
          <w:p w14:paraId="707BBB9E" w14:textId="77777777" w:rsidR="008238BA" w:rsidRDefault="00000000">
            <w:r>
              <w:t xml:space="preserve">Landmark case that </w:t>
            </w:r>
            <w:r>
              <w:rPr>
                <w:b/>
              </w:rPr>
              <w:t>overturned</w:t>
            </w:r>
            <w:r>
              <w:t xml:space="preserve"> Plessy v. </w:t>
            </w:r>
            <w:proofErr w:type="gramStart"/>
            <w:r>
              <w:t>Ferguson, and</w:t>
            </w:r>
            <w:proofErr w:type="gramEnd"/>
            <w:r>
              <w:t xml:space="preserve"> determined “separate but equal” segregation violated the 14th Amendment equal protection clause within the field of public education.</w:t>
            </w:r>
          </w:p>
        </w:tc>
      </w:tr>
      <w:tr w:rsidR="008238BA" w14:paraId="5222FCF5" w14:textId="77777777">
        <w:tc>
          <w:tcPr>
            <w:tcW w:w="3510" w:type="dxa"/>
          </w:tcPr>
          <w:p w14:paraId="18AA0E13" w14:textId="77777777" w:rsidR="008238BA" w:rsidRDefault="00000000">
            <w:pPr>
              <w:rPr>
                <w:b/>
              </w:rPr>
            </w:pPr>
            <w:r>
              <w:rPr>
                <w:b/>
              </w:rPr>
              <w:t>Gideon v. Wainwright</w:t>
            </w:r>
          </w:p>
          <w:p w14:paraId="4EEAA899" w14:textId="77777777" w:rsidR="008238BA" w:rsidRDefault="00000000">
            <w:pPr>
              <w:rPr>
                <w:b/>
              </w:rPr>
            </w:pPr>
            <w:r>
              <w:rPr>
                <w:b/>
              </w:rPr>
              <w:t>(1963)</w:t>
            </w:r>
          </w:p>
        </w:tc>
        <w:tc>
          <w:tcPr>
            <w:tcW w:w="7380" w:type="dxa"/>
          </w:tcPr>
          <w:p w14:paraId="1B52CA2E" w14:textId="77777777" w:rsidR="008238BA" w:rsidRDefault="00000000">
            <w:r>
              <w:t xml:space="preserve">Landmark case that </w:t>
            </w:r>
            <w:r>
              <w:rPr>
                <w:b/>
              </w:rPr>
              <w:t>upheld</w:t>
            </w:r>
            <w:r>
              <w:t xml:space="preserve"> the 6th Amendment right that all defendants must be appointed a lawyer if they cannot afford their own attorney.</w:t>
            </w:r>
          </w:p>
        </w:tc>
      </w:tr>
      <w:tr w:rsidR="008238BA" w14:paraId="14CB008B" w14:textId="77777777">
        <w:tc>
          <w:tcPr>
            <w:tcW w:w="3510" w:type="dxa"/>
          </w:tcPr>
          <w:p w14:paraId="234F3054" w14:textId="77777777" w:rsidR="008238BA" w:rsidRDefault="00000000">
            <w:pPr>
              <w:rPr>
                <w:b/>
              </w:rPr>
            </w:pPr>
            <w:r>
              <w:rPr>
                <w:b/>
              </w:rPr>
              <w:t>Miranda v. Arizona</w:t>
            </w:r>
          </w:p>
          <w:p w14:paraId="2FFDBA84" w14:textId="77777777" w:rsidR="008238BA" w:rsidRDefault="00000000">
            <w:pPr>
              <w:rPr>
                <w:b/>
              </w:rPr>
            </w:pPr>
            <w:r>
              <w:rPr>
                <w:b/>
              </w:rPr>
              <w:t>(1966)</w:t>
            </w:r>
          </w:p>
        </w:tc>
        <w:tc>
          <w:tcPr>
            <w:tcW w:w="7380" w:type="dxa"/>
          </w:tcPr>
          <w:p w14:paraId="33E9360B" w14:textId="77777777" w:rsidR="008238BA" w:rsidRDefault="00000000">
            <w:r>
              <w:t>Landmark case that upheld the 5th Amendment protection from self-incrimination, and determined all individuals being accused of a crime must be read their “</w:t>
            </w:r>
            <w:r>
              <w:rPr>
                <w:b/>
              </w:rPr>
              <w:t>Miranda Warnings</w:t>
            </w:r>
            <w:r>
              <w:t xml:space="preserve">” by law enforcement before being questioned. </w:t>
            </w:r>
          </w:p>
        </w:tc>
      </w:tr>
      <w:tr w:rsidR="008238BA" w14:paraId="693FD321" w14:textId="77777777">
        <w:tc>
          <w:tcPr>
            <w:tcW w:w="3510" w:type="dxa"/>
          </w:tcPr>
          <w:p w14:paraId="4AE07EFB" w14:textId="77777777" w:rsidR="008238BA" w:rsidRDefault="00000000">
            <w:pPr>
              <w:rPr>
                <w:b/>
              </w:rPr>
            </w:pPr>
            <w:r>
              <w:rPr>
                <w:b/>
              </w:rPr>
              <w:t>In re Gault</w:t>
            </w:r>
          </w:p>
          <w:p w14:paraId="21743CA6" w14:textId="77777777" w:rsidR="008238BA" w:rsidRDefault="00000000">
            <w:pPr>
              <w:rPr>
                <w:b/>
              </w:rPr>
            </w:pPr>
            <w:r>
              <w:rPr>
                <w:b/>
              </w:rPr>
              <w:t>(1967)</w:t>
            </w:r>
          </w:p>
        </w:tc>
        <w:tc>
          <w:tcPr>
            <w:tcW w:w="7380" w:type="dxa"/>
          </w:tcPr>
          <w:p w14:paraId="03478181" w14:textId="77777777" w:rsidR="008238BA" w:rsidRDefault="00000000">
            <w:r>
              <w:t xml:space="preserve">Landmark case that determined that juvenile court must follow the 14th Amendment due process clause, and those juveniles have the same due process rights as adults. </w:t>
            </w:r>
          </w:p>
        </w:tc>
      </w:tr>
      <w:tr w:rsidR="008238BA" w14:paraId="34E9197E" w14:textId="77777777">
        <w:trPr>
          <w:trHeight w:val="625"/>
        </w:trPr>
        <w:tc>
          <w:tcPr>
            <w:tcW w:w="3510" w:type="dxa"/>
          </w:tcPr>
          <w:p w14:paraId="50938BB5" w14:textId="77777777" w:rsidR="008238BA" w:rsidRDefault="00000000">
            <w:pPr>
              <w:rPr>
                <w:b/>
              </w:rPr>
            </w:pPr>
            <w:r>
              <w:rPr>
                <w:b/>
              </w:rPr>
              <w:t xml:space="preserve">United States v. Nixon </w:t>
            </w:r>
          </w:p>
          <w:p w14:paraId="47636CC1" w14:textId="77777777" w:rsidR="008238BA" w:rsidRDefault="00000000">
            <w:pPr>
              <w:rPr>
                <w:b/>
              </w:rPr>
            </w:pPr>
            <w:r>
              <w:rPr>
                <w:b/>
              </w:rPr>
              <w:t>(1974)</w:t>
            </w:r>
          </w:p>
        </w:tc>
        <w:tc>
          <w:tcPr>
            <w:tcW w:w="7380" w:type="dxa"/>
          </w:tcPr>
          <w:p w14:paraId="4C500553" w14:textId="77777777" w:rsidR="008238BA" w:rsidRDefault="00000000">
            <w:r>
              <w:t xml:space="preserve">Landmark case that established the president has limited executive </w:t>
            </w:r>
            <w:proofErr w:type="gramStart"/>
            <w:r>
              <w:t>privilege, and</w:t>
            </w:r>
            <w:proofErr w:type="gramEnd"/>
            <w:r>
              <w:t xml:space="preserve"> is not above the rule of law. </w:t>
            </w:r>
          </w:p>
        </w:tc>
      </w:tr>
      <w:tr w:rsidR="008238BA" w14:paraId="6134EE94" w14:textId="77777777">
        <w:tc>
          <w:tcPr>
            <w:tcW w:w="3510" w:type="dxa"/>
          </w:tcPr>
          <w:p w14:paraId="6D83D688" w14:textId="77777777" w:rsidR="008238BA" w:rsidRDefault="00000000">
            <w:pPr>
              <w:rPr>
                <w:b/>
              </w:rPr>
            </w:pPr>
            <w:r>
              <w:rPr>
                <w:b/>
              </w:rPr>
              <w:t>Hazelwood v. Kuhlmeier (1987)</w:t>
            </w:r>
          </w:p>
        </w:tc>
        <w:tc>
          <w:tcPr>
            <w:tcW w:w="7380" w:type="dxa"/>
          </w:tcPr>
          <w:p w14:paraId="75C9FE7D" w14:textId="77777777" w:rsidR="008238BA" w:rsidRDefault="00000000">
            <w:r>
              <w:t xml:space="preserve">Landmark case that determined the 1st Amendment does not protect all types of student speech in school, and school officials can </w:t>
            </w:r>
            <w:r>
              <w:rPr>
                <w:b/>
              </w:rPr>
              <w:t xml:space="preserve">censor </w:t>
            </w:r>
            <w:r>
              <w:t xml:space="preserve">certain information in school activities (i.e., school newspaper) that causes a disruption to the </w:t>
            </w:r>
            <w:proofErr w:type="gramStart"/>
            <w:r>
              <w:t>school, or</w:t>
            </w:r>
            <w:proofErr w:type="gramEnd"/>
            <w:r>
              <w:t xml:space="preserve"> poses a danger to students. </w:t>
            </w:r>
          </w:p>
        </w:tc>
      </w:tr>
    </w:tbl>
    <w:p w14:paraId="46B196A1" w14:textId="77777777" w:rsidR="008238BA" w:rsidRDefault="008238BA">
      <w:pPr>
        <w:spacing w:before="92" w:line="242" w:lineRule="auto"/>
        <w:ind w:right="96"/>
        <w:rPr>
          <w:color w:val="000000"/>
          <w:sz w:val="24"/>
          <w:szCs w:val="24"/>
        </w:rPr>
      </w:pPr>
    </w:p>
    <w:sectPr w:rsidR="008238BA">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A84E" w14:textId="77777777" w:rsidR="00372381" w:rsidRDefault="00372381">
      <w:r>
        <w:separator/>
      </w:r>
    </w:p>
  </w:endnote>
  <w:endnote w:type="continuationSeparator" w:id="0">
    <w:p w14:paraId="3A4BE9BE" w14:textId="77777777" w:rsidR="00372381" w:rsidRDefault="0037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5D32" w14:textId="77777777" w:rsidR="008238BA" w:rsidRDefault="00000000">
    <w:hyperlink r:id="rId1">
      <w:r>
        <w:rPr>
          <w:color w:val="0563C1"/>
          <w:sz w:val="17"/>
          <w:szCs w:val="17"/>
          <w:u w:val="single"/>
        </w:rPr>
        <w:t>Civics360</w:t>
      </w:r>
    </w:hyperlink>
    <w:r>
      <w:rPr>
        <w:color w:val="0563C1"/>
        <w:sz w:val="17"/>
        <w:szCs w:val="17"/>
      </w:rPr>
      <w:tab/>
    </w:r>
    <w:r>
      <w:rPr>
        <w:color w:val="0563C1"/>
        <w:sz w:val="17"/>
        <w:szCs w:val="17"/>
      </w:rPr>
      <w:tab/>
    </w:r>
    <w:r>
      <w:rPr>
        <w:color w:val="0563C1"/>
        <w:sz w:val="17"/>
        <w:szCs w:val="17"/>
      </w:rPr>
      <w:tab/>
    </w:r>
    <w:r>
      <w:rPr>
        <w:sz w:val="17"/>
        <w:szCs w:val="17"/>
      </w:rPr>
      <w:t>©</w:t>
    </w:r>
    <w:hyperlink r:id="rId2">
      <w:r>
        <w:rPr>
          <w:color w:val="0563C1"/>
          <w:sz w:val="17"/>
          <w:szCs w:val="17"/>
          <w:u w:val="single"/>
        </w:rPr>
        <w:t>Lou Frey Institute</w:t>
      </w:r>
    </w:hyperlink>
    <w:r>
      <w:rPr>
        <w:color w:val="0563C1"/>
        <w:sz w:val="17"/>
        <w:szCs w:val="17"/>
      </w:rPr>
      <w:t xml:space="preserve"> </w:t>
    </w:r>
    <w:r>
      <w:rPr>
        <w:sz w:val="17"/>
        <w:szCs w:val="17"/>
      </w:rPr>
      <w:t>2023 All Rights Reserved</w:t>
    </w:r>
    <w:r>
      <w:rPr>
        <w:sz w:val="17"/>
        <w:szCs w:val="17"/>
      </w:rPr>
      <w:tab/>
    </w:r>
    <w:r>
      <w:rPr>
        <w:sz w:val="17"/>
        <w:szCs w:val="17"/>
      </w:rPr>
      <w:tab/>
    </w:r>
    <w:r>
      <w:rPr>
        <w:sz w:val="17"/>
        <w:szCs w:val="17"/>
      </w:rPr>
      <w:tab/>
    </w:r>
    <w:hyperlink r:id="rId3">
      <w:r>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007D" w14:textId="77777777" w:rsidR="00372381" w:rsidRDefault="00372381">
      <w:r>
        <w:separator/>
      </w:r>
    </w:p>
  </w:footnote>
  <w:footnote w:type="continuationSeparator" w:id="0">
    <w:p w14:paraId="21911E28" w14:textId="77777777" w:rsidR="00372381" w:rsidRDefault="00372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BA"/>
    <w:rsid w:val="00070B2E"/>
    <w:rsid w:val="00372381"/>
    <w:rsid w:val="003835F5"/>
    <w:rsid w:val="0082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08096"/>
  <w15:docId w15:val="{E2B699BC-8A74-EE4D-B353-C592F905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061CF"/>
    <w:pPr>
      <w:autoSpaceDE w:val="0"/>
      <w:autoSpaceDN w:val="0"/>
      <w:ind w:left="686" w:right="345"/>
    </w:pPr>
    <w:rPr>
      <w:sz w:val="24"/>
      <w:szCs w:val="24"/>
    </w:rPr>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rPr>
  </w:style>
  <w:style w:type="paragraph" w:styleId="ListParagraph">
    <w:name w:val="List Paragraph"/>
    <w:basedOn w:val="Normal"/>
    <w:uiPriority w:val="34"/>
    <w:qFormat/>
    <w:rsid w:val="00425560"/>
    <w:pPr>
      <w:ind w:left="720"/>
      <w:contextualSpacing/>
    </w:pPr>
  </w:style>
  <w:style w:type="character" w:customStyle="1" w:styleId="TitleChar">
    <w:name w:val="Title Char"/>
    <w:basedOn w:val="DefaultParagraphFont"/>
    <w:link w:val="Title"/>
    <w:uiPriority w:val="10"/>
    <w:rsid w:val="00E061CF"/>
    <w:rPr>
      <w:rFonts w:ascii="Arial" w:eastAsia="Arial" w:hAnsi="Arial" w:cs="Arial"/>
      <w:kern w:val="0"/>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gFbVU7K9ujvi3cBQKNADciRuAQ==">CgMxLjA4AHIhMXU1N1NVMm5pSXRFQ3A3M0F5X0I1cEszOW9OQ2llX2JN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Cavicchi</dc:creator>
  <cp:lastModifiedBy>Alison Cavicchi</cp:lastModifiedBy>
  <cp:revision>3</cp:revision>
  <dcterms:created xsi:type="dcterms:W3CDTF">2023-06-28T21:18:00Z</dcterms:created>
  <dcterms:modified xsi:type="dcterms:W3CDTF">2023-07-14T15:24:00Z</dcterms:modified>
</cp:coreProperties>
</file>