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8230E5B" w:rsidR="005C4ABE" w:rsidRDefault="00E66F14">
      <w:r>
        <w:rPr>
          <w:noProof/>
        </w:rPr>
        <w:drawing>
          <wp:anchor distT="0" distB="0" distL="114300" distR="114300" simplePos="0" relativeHeight="251661312" behindDoc="0" locked="0" layoutInCell="1" allowOverlap="1" wp14:anchorId="01C9A56A" wp14:editId="32689C9C">
            <wp:simplePos x="0" y="0"/>
            <wp:positionH relativeFrom="margin">
              <wp:posOffset>6350</wp:posOffset>
            </wp:positionH>
            <wp:positionV relativeFrom="margin">
              <wp:posOffset>203200</wp:posOffset>
            </wp:positionV>
            <wp:extent cx="772795" cy="78994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795" cy="789940"/>
                    </a:xfrm>
                    <a:prstGeom prst="rect">
                      <a:avLst/>
                    </a:prstGeom>
                  </pic:spPr>
                </pic:pic>
              </a:graphicData>
            </a:graphic>
            <wp14:sizeRelH relativeFrom="margin">
              <wp14:pctWidth>0</wp14:pctWidth>
            </wp14:sizeRelH>
            <wp14:sizeRelV relativeFrom="margin">
              <wp14:pctHeight>0</wp14:pctHeight>
            </wp14:sizeRelV>
          </wp:anchor>
        </w:drawing>
      </w:r>
      <w:r w:rsidR="00B35852">
        <w:rPr>
          <w:b/>
          <w:noProof/>
          <w:sz w:val="16"/>
          <w:szCs w:val="16"/>
        </w:rPr>
        <mc:AlternateContent>
          <mc:Choice Requires="wps">
            <w:drawing>
              <wp:anchor distT="0" distB="0" distL="114300" distR="114300" simplePos="0" relativeHeight="251659264" behindDoc="0" locked="0" layoutInCell="1" allowOverlap="1" wp14:anchorId="77ECD896" wp14:editId="43EA7B5F">
                <wp:simplePos x="0" y="0"/>
                <wp:positionH relativeFrom="column">
                  <wp:posOffset>876300</wp:posOffset>
                </wp:positionH>
                <wp:positionV relativeFrom="paragraph">
                  <wp:posOffset>254000</wp:posOffset>
                </wp:positionV>
                <wp:extent cx="26289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65904A8F" w:rsidR="00425560" w:rsidRPr="006D5C7D" w:rsidRDefault="00E66F14"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C0407B">
                              <w:rPr>
                                <w:i/>
                                <w:color w:val="323E4F" w:themeColor="text2" w:themeShade="BF"/>
                                <w:sz w:val="24"/>
                                <w:szCs w:val="24"/>
                              </w:rPr>
                              <w:t>3.</w:t>
                            </w:r>
                            <w:r>
                              <w:rPr>
                                <w:i/>
                                <w:color w:val="323E4F" w:themeColor="text2" w:themeShade="BF"/>
                                <w:sz w:val="24"/>
                                <w:szCs w:val="24"/>
                              </w:rPr>
                              <w:t>11</w:t>
                            </w:r>
                          </w:p>
                          <w:p w14:paraId="08946024" w14:textId="7C35E192" w:rsidR="00425560" w:rsidRPr="006D5C7D" w:rsidRDefault="00E66F14" w:rsidP="00425560">
                            <w:pPr>
                              <w:rPr>
                                <w:b/>
                                <w:i/>
                                <w:color w:val="323E4F" w:themeColor="text2" w:themeShade="BF"/>
                                <w:sz w:val="24"/>
                                <w:szCs w:val="24"/>
                              </w:rPr>
                            </w:pPr>
                            <w:r>
                              <w:rPr>
                                <w:b/>
                                <w:i/>
                                <w:color w:val="323E4F" w:themeColor="text2" w:themeShade="BF"/>
                                <w:sz w:val="24"/>
                                <w:szCs w:val="24"/>
                              </w:rPr>
                              <w:t>Landmark Supreme Court Cases</w:t>
                            </w:r>
                          </w:p>
                          <w:p w14:paraId="3F38EE4A" w14:textId="149A21B7"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D36093">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" filled="f" stroked="f">
                <v:textbox>
                  <w:txbxContent>
                    <w:p w14:paraId="25D8C899" w14:textId="65904A8F" w:rsidR="00425560" w:rsidRPr="006D5C7D" w:rsidRDefault="00E66F14"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C0407B">
                        <w:rPr>
                          <w:i/>
                          <w:color w:val="323E4F" w:themeColor="text2" w:themeShade="BF"/>
                          <w:sz w:val="24"/>
                          <w:szCs w:val="24"/>
                        </w:rPr>
                        <w:t>3.</w:t>
                      </w:r>
                      <w:r>
                        <w:rPr>
                          <w:i/>
                          <w:color w:val="323E4F" w:themeColor="text2" w:themeShade="BF"/>
                          <w:sz w:val="24"/>
                          <w:szCs w:val="24"/>
                        </w:rPr>
                        <w:t>11</w:t>
                      </w:r>
                    </w:p>
                    <w:p w14:paraId="08946024" w14:textId="7C35E192" w:rsidR="00425560" w:rsidRPr="006D5C7D" w:rsidRDefault="00E66F14" w:rsidP="00425560">
                      <w:pPr>
                        <w:rPr>
                          <w:b/>
                          <w:i/>
                          <w:color w:val="323E4F" w:themeColor="text2" w:themeShade="BF"/>
                          <w:sz w:val="24"/>
                          <w:szCs w:val="24"/>
                        </w:rPr>
                      </w:pPr>
                      <w:r>
                        <w:rPr>
                          <w:b/>
                          <w:i/>
                          <w:color w:val="323E4F" w:themeColor="text2" w:themeShade="BF"/>
                          <w:sz w:val="24"/>
                          <w:szCs w:val="24"/>
                        </w:rPr>
                        <w:t>Landmark Supreme Court Cases</w:t>
                      </w:r>
                    </w:p>
                    <w:p w14:paraId="3F38EE4A" w14:textId="149A21B7"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D36093">
                        <w:rPr>
                          <w:b/>
                          <w:color w:val="323E4F" w:themeColor="text2" w:themeShade="BF"/>
                          <w:sz w:val="24"/>
                          <w:szCs w:val="24"/>
                        </w:rPr>
                        <w:t>3</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4EBC6EDD">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259AF124">
                <wp:simplePos x="0" y="0"/>
                <wp:positionH relativeFrom="column">
                  <wp:posOffset>-76200</wp:posOffset>
                </wp:positionH>
                <wp:positionV relativeFrom="paragraph">
                  <wp:posOffset>196215</wp:posOffset>
                </wp:positionV>
                <wp:extent cx="6972300" cy="5461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461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1AA3160" w:rsidR="000A4C80" w:rsidRPr="00D36093" w:rsidRDefault="00D36093" w:rsidP="00D36093">
                            <w:pPr>
                              <w:spacing w:line="242" w:lineRule="auto"/>
                              <w:ind w:right="736"/>
                              <w:rPr>
                                <w:color w:val="000000" w:themeColor="text1"/>
                                <w:sz w:val="24"/>
                                <w:szCs w:val="24"/>
                              </w:rPr>
                            </w:pPr>
                            <w:r w:rsidRPr="00D36093">
                              <w:rPr>
                                <w:b/>
                                <w:i/>
                                <w:color w:val="000000" w:themeColor="text1"/>
                                <w:sz w:val="24"/>
                                <w:szCs w:val="24"/>
                              </w:rPr>
                              <w:t>SS.7.CG.3.11 Benchmark Clarification 3</w:t>
                            </w:r>
                            <w:r w:rsidRPr="00D36093">
                              <w:rPr>
                                <w:i/>
                                <w:color w:val="000000" w:themeColor="text1"/>
                                <w:sz w:val="24"/>
                                <w:szCs w:val="24"/>
                              </w:rPr>
                              <w:t xml:space="preserve">: </w:t>
                            </w:r>
                            <w:r w:rsidRPr="00D36093">
                              <w:rPr>
                                <w:color w:val="000000" w:themeColor="text1"/>
                                <w:sz w:val="24"/>
                                <w:szCs w:val="24"/>
                              </w:rPr>
                              <w:t>Students will evaluate the impact of each case on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" filled="f" strokecolor="black [3213]" strokeweight="1pt">
                <v:textbox>
                  <w:txbxContent>
                    <w:p w14:paraId="24A11C5B" w14:textId="51AA3160" w:rsidR="000A4C80" w:rsidRPr="00D36093" w:rsidRDefault="00D36093" w:rsidP="00D36093">
                      <w:pPr>
                        <w:spacing w:line="242" w:lineRule="auto"/>
                        <w:ind w:right="736"/>
                        <w:rPr>
                          <w:color w:val="000000" w:themeColor="text1"/>
                          <w:sz w:val="24"/>
                          <w:szCs w:val="24"/>
                        </w:rPr>
                      </w:pPr>
                      <w:r w:rsidRPr="00D36093">
                        <w:rPr>
                          <w:b/>
                          <w:i/>
                          <w:color w:val="000000" w:themeColor="text1"/>
                          <w:sz w:val="24"/>
                          <w:szCs w:val="24"/>
                        </w:rPr>
                        <w:t>SS.7.CG.3.11 Benchmark Clarification 3</w:t>
                      </w:r>
                      <w:r w:rsidRPr="00D36093">
                        <w:rPr>
                          <w:i/>
                          <w:color w:val="000000" w:themeColor="text1"/>
                          <w:sz w:val="24"/>
                          <w:szCs w:val="24"/>
                        </w:rPr>
                        <w:t xml:space="preserve">: </w:t>
                      </w:r>
                      <w:r w:rsidRPr="00D36093">
                        <w:rPr>
                          <w:color w:val="000000" w:themeColor="text1"/>
                          <w:sz w:val="24"/>
                          <w:szCs w:val="24"/>
                        </w:rPr>
                        <w:t>Students will evaluate the impact of each case on society.</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6B59C654" w14:textId="3DAD00A9" w:rsidR="00F524F0" w:rsidRDefault="00F524F0" w:rsidP="005D53C2">
      <w:pPr>
        <w:spacing w:before="92" w:line="242" w:lineRule="auto"/>
        <w:ind w:right="96"/>
        <w:rPr>
          <w:color w:val="000000"/>
          <w:sz w:val="20"/>
          <w:szCs w:val="20"/>
        </w:rPr>
      </w:pPr>
    </w:p>
    <w:p w14:paraId="21F46927" w14:textId="77777777" w:rsidR="00B42E25" w:rsidRDefault="00B42E25" w:rsidP="00B42E25">
      <w:pPr>
        <w:pStyle w:val="Heading1"/>
        <w:spacing w:before="134" w:after="2"/>
        <w:ind w:left="0" w:right="494"/>
      </w:pPr>
    </w:p>
    <w:p w14:paraId="186DBB48" w14:textId="77777777" w:rsidR="00D36093" w:rsidRDefault="00D36093" w:rsidP="00B42E25">
      <w:pPr>
        <w:pStyle w:val="Heading1"/>
        <w:spacing w:before="134" w:after="2"/>
        <w:ind w:left="0" w:right="494"/>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6"/>
        <w:gridCol w:w="9194"/>
      </w:tblGrid>
      <w:tr w:rsidR="00D36093" w14:paraId="49C3CFCF" w14:textId="77777777" w:rsidTr="00D36093">
        <w:trPr>
          <w:trHeight w:val="273"/>
        </w:trPr>
        <w:tc>
          <w:tcPr>
            <w:tcW w:w="10980" w:type="dxa"/>
            <w:gridSpan w:val="2"/>
          </w:tcPr>
          <w:p w14:paraId="16D02262" w14:textId="77777777" w:rsidR="00D36093" w:rsidRDefault="00D36093" w:rsidP="00E86A9F">
            <w:pPr>
              <w:jc w:val="center"/>
              <w:rPr>
                <w:b/>
                <w:sz w:val="24"/>
                <w:szCs w:val="24"/>
              </w:rPr>
            </w:pPr>
            <w:r>
              <w:rPr>
                <w:b/>
                <w:sz w:val="24"/>
                <w:szCs w:val="24"/>
              </w:rPr>
              <w:t>Landmark Supreme Court Cases</w:t>
            </w:r>
          </w:p>
        </w:tc>
      </w:tr>
      <w:tr w:rsidR="00D36093" w14:paraId="32B9DFC2" w14:textId="77777777" w:rsidTr="00D36093">
        <w:trPr>
          <w:trHeight w:val="277"/>
        </w:trPr>
        <w:tc>
          <w:tcPr>
            <w:tcW w:w="1786" w:type="dxa"/>
          </w:tcPr>
          <w:p w14:paraId="7808199A" w14:textId="77777777" w:rsidR="00D36093" w:rsidRDefault="00D36093" w:rsidP="00E86A9F">
            <w:pPr>
              <w:pBdr>
                <w:top w:val="nil"/>
                <w:left w:val="nil"/>
                <w:bottom w:val="nil"/>
                <w:right w:val="nil"/>
                <w:between w:val="nil"/>
              </w:pBdr>
              <w:spacing w:line="258" w:lineRule="auto"/>
              <w:ind w:left="504"/>
              <w:rPr>
                <w:b/>
                <w:color w:val="000000"/>
                <w:sz w:val="24"/>
                <w:szCs w:val="24"/>
              </w:rPr>
            </w:pPr>
            <w:r>
              <w:rPr>
                <w:b/>
                <w:color w:val="000000"/>
                <w:sz w:val="24"/>
                <w:szCs w:val="24"/>
              </w:rPr>
              <w:t>Case</w:t>
            </w:r>
          </w:p>
        </w:tc>
        <w:tc>
          <w:tcPr>
            <w:tcW w:w="9194" w:type="dxa"/>
          </w:tcPr>
          <w:p w14:paraId="69CB2E3E" w14:textId="77777777" w:rsidR="00D36093" w:rsidRDefault="00D36093" w:rsidP="00E86A9F">
            <w:pPr>
              <w:pBdr>
                <w:top w:val="nil"/>
                <w:left w:val="nil"/>
                <w:bottom w:val="nil"/>
                <w:right w:val="nil"/>
                <w:between w:val="nil"/>
              </w:pBdr>
              <w:spacing w:line="258" w:lineRule="auto"/>
              <w:ind w:right="3920"/>
              <w:jc w:val="center"/>
              <w:rPr>
                <w:b/>
                <w:color w:val="000000"/>
                <w:sz w:val="24"/>
                <w:szCs w:val="24"/>
              </w:rPr>
            </w:pPr>
            <w:r>
              <w:rPr>
                <w:b/>
                <w:color w:val="000000"/>
                <w:sz w:val="24"/>
                <w:szCs w:val="24"/>
              </w:rPr>
              <w:t xml:space="preserve">                                     Impact on Society</w:t>
            </w:r>
          </w:p>
        </w:tc>
      </w:tr>
      <w:tr w:rsidR="00D36093" w14:paraId="2CA1325C" w14:textId="77777777" w:rsidTr="00D36093">
        <w:trPr>
          <w:trHeight w:val="980"/>
        </w:trPr>
        <w:tc>
          <w:tcPr>
            <w:tcW w:w="1786" w:type="dxa"/>
            <w:vAlign w:val="center"/>
          </w:tcPr>
          <w:p w14:paraId="34C03A5E" w14:textId="77777777" w:rsidR="00D36093" w:rsidRDefault="00D36093" w:rsidP="00E86A9F">
            <w:pPr>
              <w:rPr>
                <w:b/>
              </w:rPr>
            </w:pPr>
            <w:r>
              <w:rPr>
                <w:b/>
              </w:rPr>
              <w:t>Dred Scott v. Sanford</w:t>
            </w:r>
          </w:p>
          <w:p w14:paraId="4D8BF673" w14:textId="77777777" w:rsidR="00D36093" w:rsidRDefault="00D36093" w:rsidP="00E86A9F">
            <w:pPr>
              <w:pBdr>
                <w:top w:val="nil"/>
                <w:left w:val="nil"/>
                <w:bottom w:val="nil"/>
                <w:right w:val="nil"/>
                <w:between w:val="nil"/>
              </w:pBdr>
              <w:spacing w:line="264" w:lineRule="auto"/>
              <w:rPr>
                <w:b/>
                <w:i/>
                <w:color w:val="000000"/>
              </w:rPr>
            </w:pPr>
            <w:r>
              <w:rPr>
                <w:b/>
                <w:color w:val="000000"/>
              </w:rPr>
              <w:t>(1857)</w:t>
            </w:r>
          </w:p>
        </w:tc>
        <w:tc>
          <w:tcPr>
            <w:tcW w:w="9194" w:type="dxa"/>
          </w:tcPr>
          <w:p w14:paraId="0D7A6C80" w14:textId="77777777" w:rsidR="00D36093" w:rsidRDefault="00D36093" w:rsidP="00E86A9F">
            <w:pPr>
              <w:pBdr>
                <w:top w:val="nil"/>
                <w:left w:val="nil"/>
                <w:bottom w:val="nil"/>
                <w:right w:val="nil"/>
                <w:between w:val="nil"/>
              </w:pBdr>
              <w:spacing w:line="264" w:lineRule="auto"/>
              <w:ind w:left="105" w:right="76"/>
              <w:rPr>
                <w:color w:val="000000"/>
              </w:rPr>
            </w:pPr>
            <w:r>
              <w:rPr>
                <w:color w:val="000000"/>
              </w:rPr>
              <w:t xml:space="preserve">The judicial opinion on this case was one of the most controversial decisions of the Supreme Court. This case </w:t>
            </w:r>
            <w:r>
              <w:t>directly impacted</w:t>
            </w:r>
            <w:r>
              <w:rPr>
                <w:color w:val="000000"/>
              </w:rPr>
              <w:t xml:space="preserve"> the Civil War, and brought to the forefront, tension surrounding the issue of slavery in the United States.</w:t>
            </w:r>
          </w:p>
        </w:tc>
      </w:tr>
      <w:tr w:rsidR="00D36093" w14:paraId="1A12322B" w14:textId="77777777" w:rsidTr="00D36093">
        <w:trPr>
          <w:trHeight w:val="980"/>
        </w:trPr>
        <w:tc>
          <w:tcPr>
            <w:tcW w:w="1786" w:type="dxa"/>
            <w:vAlign w:val="center"/>
          </w:tcPr>
          <w:p w14:paraId="3F15AE51" w14:textId="77777777" w:rsidR="00D36093" w:rsidRDefault="00D36093" w:rsidP="00E86A9F">
            <w:pPr>
              <w:rPr>
                <w:b/>
              </w:rPr>
            </w:pPr>
            <w:r>
              <w:rPr>
                <w:b/>
              </w:rPr>
              <w:t>Plessy v. Ferguson</w:t>
            </w:r>
          </w:p>
          <w:p w14:paraId="3DCD2A6C" w14:textId="77777777" w:rsidR="00D36093" w:rsidRDefault="00D36093" w:rsidP="00E86A9F">
            <w:pPr>
              <w:pBdr>
                <w:top w:val="nil"/>
                <w:left w:val="nil"/>
                <w:bottom w:val="nil"/>
                <w:right w:val="nil"/>
                <w:between w:val="nil"/>
              </w:pBdr>
              <w:spacing w:line="264" w:lineRule="auto"/>
              <w:rPr>
                <w:b/>
                <w:i/>
                <w:color w:val="000000"/>
              </w:rPr>
            </w:pPr>
            <w:r>
              <w:rPr>
                <w:b/>
                <w:color w:val="000000"/>
              </w:rPr>
              <w:t>(1896)</w:t>
            </w:r>
          </w:p>
        </w:tc>
        <w:tc>
          <w:tcPr>
            <w:tcW w:w="9194" w:type="dxa"/>
          </w:tcPr>
          <w:p w14:paraId="02E158A4" w14:textId="77777777" w:rsidR="00D36093" w:rsidRDefault="00D36093" w:rsidP="00E86A9F">
            <w:pPr>
              <w:pBdr>
                <w:top w:val="nil"/>
                <w:left w:val="nil"/>
                <w:bottom w:val="nil"/>
                <w:right w:val="nil"/>
                <w:between w:val="nil"/>
              </w:pBdr>
              <w:spacing w:line="264" w:lineRule="auto"/>
              <w:ind w:left="105" w:right="76"/>
              <w:rPr>
                <w:color w:val="000000"/>
              </w:rPr>
            </w:pPr>
            <w:r>
              <w:rPr>
                <w:color w:val="000000"/>
              </w:rPr>
              <w:t>The judicial opinion</w:t>
            </w:r>
            <w:r>
              <w:rPr>
                <w:b/>
                <w:color w:val="000000"/>
              </w:rPr>
              <w:t xml:space="preserve"> </w:t>
            </w:r>
            <w:r>
              <w:rPr>
                <w:color w:val="000000"/>
              </w:rPr>
              <w:t>on this case resulted in a major setback in the struggle for equality between races in the United States and set the stage for racial segregation within the South.</w:t>
            </w:r>
          </w:p>
        </w:tc>
      </w:tr>
      <w:tr w:rsidR="00D36093" w14:paraId="43B8B418" w14:textId="77777777" w:rsidTr="00D36093">
        <w:trPr>
          <w:trHeight w:val="1160"/>
        </w:trPr>
        <w:tc>
          <w:tcPr>
            <w:tcW w:w="1786" w:type="dxa"/>
            <w:vAlign w:val="center"/>
          </w:tcPr>
          <w:p w14:paraId="471B6401" w14:textId="77777777" w:rsidR="00D36093" w:rsidRDefault="00D36093" w:rsidP="00E86A9F">
            <w:pPr>
              <w:rPr>
                <w:b/>
              </w:rPr>
            </w:pPr>
            <w:r>
              <w:rPr>
                <w:b/>
              </w:rPr>
              <w:t>Brown v. Board of Education</w:t>
            </w:r>
          </w:p>
          <w:p w14:paraId="00D856AE" w14:textId="77777777" w:rsidR="00D36093" w:rsidRDefault="00D36093" w:rsidP="00E86A9F">
            <w:pPr>
              <w:pBdr>
                <w:top w:val="nil"/>
                <w:left w:val="nil"/>
                <w:bottom w:val="nil"/>
                <w:right w:val="nil"/>
                <w:between w:val="nil"/>
              </w:pBdr>
              <w:spacing w:line="264" w:lineRule="auto"/>
              <w:rPr>
                <w:b/>
                <w:color w:val="000000"/>
              </w:rPr>
            </w:pPr>
            <w:r>
              <w:rPr>
                <w:b/>
                <w:color w:val="000000"/>
              </w:rPr>
              <w:t>(1954)</w:t>
            </w:r>
          </w:p>
        </w:tc>
        <w:tc>
          <w:tcPr>
            <w:tcW w:w="9194" w:type="dxa"/>
          </w:tcPr>
          <w:p w14:paraId="0681FC4C" w14:textId="77777777" w:rsidR="00D36093" w:rsidRDefault="00D36093" w:rsidP="00E86A9F">
            <w:pPr>
              <w:pBdr>
                <w:top w:val="nil"/>
                <w:left w:val="nil"/>
                <w:bottom w:val="nil"/>
                <w:right w:val="nil"/>
                <w:between w:val="nil"/>
              </w:pBdr>
              <w:spacing w:line="264" w:lineRule="auto"/>
              <w:ind w:left="105" w:right="76"/>
              <w:rPr>
                <w:color w:val="000000"/>
              </w:rPr>
            </w:pPr>
            <w:r>
              <w:rPr>
                <w:color w:val="000000"/>
              </w:rPr>
              <w:t>The judicial opinion</w:t>
            </w:r>
            <w:r>
              <w:rPr>
                <w:b/>
                <w:color w:val="000000"/>
              </w:rPr>
              <w:t xml:space="preserve"> </w:t>
            </w:r>
            <w:r>
              <w:rPr>
                <w:color w:val="000000"/>
              </w:rPr>
              <w:t>on this case strengthened the growing civil rights movement</w:t>
            </w:r>
            <w:r>
              <w:t xml:space="preserve"> </w:t>
            </w:r>
            <w:r>
              <w:rPr>
                <w:color w:val="000000"/>
              </w:rPr>
              <w:t>and signaled the end of legalized racial segregation in the schools of the United States.</w:t>
            </w:r>
          </w:p>
        </w:tc>
      </w:tr>
      <w:tr w:rsidR="00D36093" w14:paraId="6738A735" w14:textId="77777777" w:rsidTr="00D36093">
        <w:trPr>
          <w:trHeight w:val="791"/>
        </w:trPr>
        <w:tc>
          <w:tcPr>
            <w:tcW w:w="1786" w:type="dxa"/>
            <w:vAlign w:val="center"/>
          </w:tcPr>
          <w:p w14:paraId="1FE1E2D0" w14:textId="77777777" w:rsidR="00D36093" w:rsidRDefault="00D36093" w:rsidP="00E86A9F">
            <w:pPr>
              <w:pBdr>
                <w:top w:val="nil"/>
                <w:left w:val="nil"/>
                <w:bottom w:val="nil"/>
                <w:right w:val="nil"/>
                <w:between w:val="nil"/>
              </w:pBdr>
              <w:spacing w:line="264" w:lineRule="auto"/>
              <w:rPr>
                <w:b/>
                <w:color w:val="000000"/>
              </w:rPr>
            </w:pPr>
            <w:r>
              <w:rPr>
                <w:b/>
                <w:i/>
                <w:color w:val="000000"/>
              </w:rPr>
              <w:t xml:space="preserve">Gideon v. Wainwright </w:t>
            </w:r>
            <w:r>
              <w:rPr>
                <w:b/>
                <w:color w:val="000000"/>
              </w:rPr>
              <w:t>(1963)</w:t>
            </w:r>
          </w:p>
        </w:tc>
        <w:tc>
          <w:tcPr>
            <w:tcW w:w="9194" w:type="dxa"/>
          </w:tcPr>
          <w:p w14:paraId="37C6F884" w14:textId="77777777" w:rsidR="00D36093" w:rsidRDefault="00D36093" w:rsidP="00E86A9F">
            <w:pPr>
              <w:pBdr>
                <w:top w:val="nil"/>
                <w:left w:val="nil"/>
                <w:bottom w:val="nil"/>
                <w:right w:val="nil"/>
                <w:between w:val="nil"/>
              </w:pBdr>
              <w:spacing w:line="264" w:lineRule="auto"/>
              <w:ind w:left="105" w:right="76"/>
              <w:rPr>
                <w:color w:val="000000"/>
              </w:rPr>
            </w:pPr>
            <w:r>
              <w:rPr>
                <w:color w:val="000000"/>
              </w:rPr>
              <w:t>The judicial opinion</w:t>
            </w:r>
            <w:r>
              <w:rPr>
                <w:b/>
                <w:color w:val="000000"/>
              </w:rPr>
              <w:t xml:space="preserve"> </w:t>
            </w:r>
            <w:r>
              <w:rPr>
                <w:color w:val="000000"/>
              </w:rPr>
              <w:t xml:space="preserve">on this case strengthened the </w:t>
            </w:r>
            <w:r>
              <w:rPr>
                <w:b/>
                <w:color w:val="000000"/>
              </w:rPr>
              <w:t xml:space="preserve">rights of the accused </w:t>
            </w:r>
            <w:r>
              <w:rPr>
                <w:color w:val="000000"/>
              </w:rPr>
              <w:t>protected in the 4</w:t>
            </w:r>
            <w:r>
              <w:rPr>
                <w:color w:val="000000"/>
                <w:vertAlign w:val="superscript"/>
              </w:rPr>
              <w:t>th</w:t>
            </w:r>
            <w:r>
              <w:rPr>
                <w:color w:val="000000"/>
              </w:rPr>
              <w:t>, 5</w:t>
            </w:r>
            <w:r>
              <w:rPr>
                <w:color w:val="000000"/>
                <w:vertAlign w:val="superscript"/>
              </w:rPr>
              <w:t>th</w:t>
            </w:r>
            <w:r>
              <w:rPr>
                <w:color w:val="000000"/>
              </w:rPr>
              <w:t>, and 6</w:t>
            </w:r>
            <w:r>
              <w:rPr>
                <w:color w:val="000000"/>
                <w:vertAlign w:val="superscript"/>
              </w:rPr>
              <w:t>th</w:t>
            </w:r>
            <w:r>
              <w:rPr>
                <w:color w:val="000000"/>
              </w:rPr>
              <w:t xml:space="preserve"> Amendments. The Gideon case focused on the 6</w:t>
            </w:r>
            <w:r>
              <w:rPr>
                <w:color w:val="000000"/>
                <w:vertAlign w:val="superscript"/>
              </w:rPr>
              <w:t>th</w:t>
            </w:r>
            <w:r>
              <w:rPr>
                <w:color w:val="000000"/>
              </w:rPr>
              <w:t xml:space="preserve"> Amendment right to counsel (a lawyer) in state criminal cases.</w:t>
            </w:r>
          </w:p>
        </w:tc>
      </w:tr>
      <w:tr w:rsidR="00D36093" w14:paraId="737406EA" w14:textId="77777777" w:rsidTr="00D36093">
        <w:trPr>
          <w:trHeight w:val="1324"/>
        </w:trPr>
        <w:tc>
          <w:tcPr>
            <w:tcW w:w="1786" w:type="dxa"/>
            <w:vAlign w:val="center"/>
          </w:tcPr>
          <w:p w14:paraId="0373927F" w14:textId="77777777" w:rsidR="00D36093" w:rsidRDefault="00D36093" w:rsidP="00E86A9F">
            <w:pPr>
              <w:pBdr>
                <w:top w:val="nil"/>
                <w:left w:val="nil"/>
                <w:bottom w:val="nil"/>
                <w:right w:val="nil"/>
                <w:between w:val="nil"/>
              </w:pBdr>
              <w:spacing w:before="9" w:line="252" w:lineRule="auto"/>
              <w:ind w:right="170"/>
              <w:rPr>
                <w:b/>
                <w:color w:val="000000"/>
              </w:rPr>
            </w:pPr>
            <w:r>
              <w:rPr>
                <w:b/>
                <w:i/>
                <w:color w:val="000000"/>
              </w:rPr>
              <w:t xml:space="preserve">Miranda v. Arizona </w:t>
            </w:r>
            <w:r>
              <w:rPr>
                <w:b/>
                <w:color w:val="000000"/>
              </w:rPr>
              <w:t>(1966)</w:t>
            </w:r>
          </w:p>
        </w:tc>
        <w:tc>
          <w:tcPr>
            <w:tcW w:w="9194" w:type="dxa"/>
          </w:tcPr>
          <w:p w14:paraId="03C7B761" w14:textId="77777777" w:rsidR="00D36093" w:rsidRDefault="00D36093" w:rsidP="00E86A9F">
            <w:pPr>
              <w:pBdr>
                <w:top w:val="nil"/>
                <w:left w:val="nil"/>
                <w:bottom w:val="nil"/>
                <w:right w:val="nil"/>
                <w:between w:val="nil"/>
              </w:pBdr>
              <w:spacing w:before="9" w:line="252" w:lineRule="auto"/>
              <w:ind w:left="105" w:right="76"/>
              <w:rPr>
                <w:color w:val="000000"/>
              </w:rPr>
            </w:pPr>
            <w:r>
              <w:rPr>
                <w:color w:val="000000"/>
              </w:rPr>
              <w:t>The judicial opinion on this case also strengthened the rights of the accused. This case focused on the 5</w:t>
            </w:r>
            <w:r>
              <w:rPr>
                <w:color w:val="000000"/>
                <w:vertAlign w:val="superscript"/>
              </w:rPr>
              <w:t>th</w:t>
            </w:r>
            <w:r>
              <w:rPr>
                <w:color w:val="000000"/>
              </w:rPr>
              <w:t xml:space="preserve"> Amendment rights of due process and protection from </w:t>
            </w:r>
            <w:r>
              <w:rPr>
                <w:b/>
                <w:color w:val="000000"/>
              </w:rPr>
              <w:t>self-incrimination</w:t>
            </w:r>
            <w:r>
              <w:rPr>
                <w:color w:val="000000"/>
              </w:rPr>
              <w:t>. Because of this ruling, law enforcement officers are now required to read people their “Miranda Rights” when they are arrested for a crime. The “Miranda Rights” let suspects know that they</w:t>
            </w:r>
          </w:p>
          <w:p w14:paraId="1FD2C248" w14:textId="77777777" w:rsidR="00D36093" w:rsidRDefault="00D36093" w:rsidP="00E86A9F">
            <w:pPr>
              <w:pBdr>
                <w:top w:val="nil"/>
                <w:left w:val="nil"/>
                <w:bottom w:val="nil"/>
                <w:right w:val="nil"/>
                <w:between w:val="nil"/>
              </w:pBdr>
              <w:spacing w:line="232" w:lineRule="auto"/>
              <w:ind w:left="105"/>
              <w:rPr>
                <w:color w:val="000000"/>
              </w:rPr>
            </w:pPr>
            <w:r>
              <w:rPr>
                <w:color w:val="000000"/>
              </w:rPr>
              <w:t>have the right to remain silent and have the right to an attorney.</w:t>
            </w:r>
          </w:p>
        </w:tc>
      </w:tr>
      <w:tr w:rsidR="00D36093" w14:paraId="480F473B" w14:textId="77777777" w:rsidTr="00D36093">
        <w:trPr>
          <w:trHeight w:val="872"/>
        </w:trPr>
        <w:tc>
          <w:tcPr>
            <w:tcW w:w="1786" w:type="dxa"/>
            <w:vAlign w:val="center"/>
          </w:tcPr>
          <w:p w14:paraId="453A3924" w14:textId="77777777" w:rsidR="00D36093" w:rsidRDefault="00D36093" w:rsidP="00E86A9F">
            <w:pPr>
              <w:rPr>
                <w:b/>
              </w:rPr>
            </w:pPr>
            <w:r>
              <w:rPr>
                <w:b/>
              </w:rPr>
              <w:t>In re Gault</w:t>
            </w:r>
          </w:p>
          <w:p w14:paraId="65AEF6C3" w14:textId="77777777" w:rsidR="00D36093" w:rsidRDefault="00D36093" w:rsidP="00E86A9F">
            <w:pPr>
              <w:pBdr>
                <w:top w:val="nil"/>
                <w:left w:val="nil"/>
                <w:bottom w:val="nil"/>
                <w:right w:val="nil"/>
                <w:between w:val="nil"/>
              </w:pBdr>
              <w:spacing w:before="9" w:line="252" w:lineRule="auto"/>
              <w:ind w:right="170"/>
              <w:rPr>
                <w:b/>
                <w:i/>
                <w:color w:val="000000"/>
              </w:rPr>
            </w:pPr>
            <w:r>
              <w:rPr>
                <w:b/>
                <w:color w:val="000000"/>
              </w:rPr>
              <w:t>(1967)</w:t>
            </w:r>
          </w:p>
        </w:tc>
        <w:tc>
          <w:tcPr>
            <w:tcW w:w="9194" w:type="dxa"/>
          </w:tcPr>
          <w:p w14:paraId="043D8B22" w14:textId="77777777" w:rsidR="00D36093" w:rsidRDefault="00D36093" w:rsidP="00E86A9F">
            <w:pPr>
              <w:pBdr>
                <w:top w:val="nil"/>
                <w:left w:val="nil"/>
                <w:bottom w:val="nil"/>
                <w:right w:val="nil"/>
                <w:between w:val="nil"/>
              </w:pBdr>
              <w:spacing w:before="9" w:line="252" w:lineRule="auto"/>
              <w:ind w:left="105" w:right="76"/>
              <w:rPr>
                <w:color w:val="000000"/>
              </w:rPr>
            </w:pPr>
            <w:r>
              <w:rPr>
                <w:color w:val="000000"/>
              </w:rPr>
              <w:t xml:space="preserve">The judicial opinion on this case forever changed </w:t>
            </w:r>
            <w:r>
              <w:t xml:space="preserve">how </w:t>
            </w:r>
            <w:r>
              <w:rPr>
                <w:color w:val="000000"/>
              </w:rPr>
              <w:t>constitutional due process and habeas corpus protections are interpreted in juvenile criminal cases, by requiring defendants under the age of 18 to be provided with the same constitutional guarantees as adults when accused of crimes.</w:t>
            </w:r>
          </w:p>
        </w:tc>
      </w:tr>
      <w:tr w:rsidR="00D36093" w14:paraId="02435011" w14:textId="77777777" w:rsidTr="00D36093">
        <w:trPr>
          <w:trHeight w:val="1060"/>
        </w:trPr>
        <w:tc>
          <w:tcPr>
            <w:tcW w:w="1786" w:type="dxa"/>
            <w:vAlign w:val="center"/>
          </w:tcPr>
          <w:p w14:paraId="0D2C7EE6" w14:textId="77777777" w:rsidR="00D36093" w:rsidRDefault="00D36093" w:rsidP="00E86A9F">
            <w:pPr>
              <w:pBdr>
                <w:top w:val="nil"/>
                <w:left w:val="nil"/>
                <w:bottom w:val="nil"/>
                <w:right w:val="nil"/>
                <w:between w:val="nil"/>
              </w:pBdr>
              <w:ind w:right="253"/>
              <w:rPr>
                <w:b/>
                <w:i/>
                <w:color w:val="000000"/>
              </w:rPr>
            </w:pPr>
            <w:r>
              <w:rPr>
                <w:b/>
                <w:i/>
                <w:color w:val="000000"/>
              </w:rPr>
              <w:t>United States v. Nixon</w:t>
            </w:r>
          </w:p>
          <w:p w14:paraId="7F0CF692" w14:textId="77777777" w:rsidR="00D36093" w:rsidRDefault="00D36093" w:rsidP="00E86A9F">
            <w:pPr>
              <w:pBdr>
                <w:top w:val="nil"/>
                <w:left w:val="nil"/>
                <w:bottom w:val="nil"/>
                <w:right w:val="nil"/>
                <w:between w:val="nil"/>
              </w:pBdr>
              <w:ind w:right="253"/>
              <w:rPr>
                <w:b/>
                <w:color w:val="000000"/>
              </w:rPr>
            </w:pPr>
            <w:r>
              <w:rPr>
                <w:b/>
                <w:color w:val="000000"/>
              </w:rPr>
              <w:t>(1974)</w:t>
            </w:r>
          </w:p>
        </w:tc>
        <w:tc>
          <w:tcPr>
            <w:tcW w:w="9194" w:type="dxa"/>
          </w:tcPr>
          <w:p w14:paraId="2F5C4802" w14:textId="77777777" w:rsidR="00D36093" w:rsidRDefault="00D36093" w:rsidP="00E86A9F">
            <w:pPr>
              <w:pBdr>
                <w:top w:val="nil"/>
                <w:left w:val="nil"/>
                <w:bottom w:val="nil"/>
                <w:right w:val="nil"/>
                <w:between w:val="nil"/>
              </w:pBdr>
              <w:ind w:left="105" w:right="76"/>
              <w:rPr>
                <w:color w:val="000000"/>
              </w:rPr>
            </w:pPr>
            <w:r>
              <w:rPr>
                <w:color w:val="000000"/>
              </w:rPr>
              <w:t>The judicial opinion in this case discussed the idea of legal equality, which means that everyone is equal in the eyes of the law. Even though this case involved a U.S. President, the Supreme Court said he could be held responsible for refusing to follow the law like any other citizen.</w:t>
            </w:r>
          </w:p>
        </w:tc>
      </w:tr>
      <w:tr w:rsidR="00D36093" w14:paraId="4658677E" w14:textId="77777777" w:rsidTr="00D36093">
        <w:trPr>
          <w:trHeight w:val="1324"/>
        </w:trPr>
        <w:tc>
          <w:tcPr>
            <w:tcW w:w="1786" w:type="dxa"/>
            <w:vAlign w:val="center"/>
          </w:tcPr>
          <w:p w14:paraId="6B635FC2" w14:textId="77777777" w:rsidR="00D36093" w:rsidRDefault="00D36093" w:rsidP="00E86A9F">
            <w:pPr>
              <w:pBdr>
                <w:top w:val="nil"/>
                <w:left w:val="nil"/>
                <w:bottom w:val="nil"/>
                <w:right w:val="nil"/>
                <w:between w:val="nil"/>
              </w:pBdr>
              <w:spacing w:line="264" w:lineRule="auto"/>
              <w:rPr>
                <w:b/>
                <w:color w:val="000000"/>
              </w:rPr>
            </w:pPr>
            <w:r>
              <w:rPr>
                <w:b/>
                <w:i/>
                <w:color w:val="000000"/>
              </w:rPr>
              <w:t xml:space="preserve">Hazelwood School District v. Kuhlmeier </w:t>
            </w:r>
            <w:r>
              <w:rPr>
                <w:b/>
                <w:color w:val="000000"/>
              </w:rPr>
              <w:t>(1987)</w:t>
            </w:r>
          </w:p>
        </w:tc>
        <w:tc>
          <w:tcPr>
            <w:tcW w:w="9194" w:type="dxa"/>
          </w:tcPr>
          <w:p w14:paraId="5E5D8F89" w14:textId="77777777" w:rsidR="00D36093" w:rsidRDefault="00D36093" w:rsidP="00E86A9F">
            <w:pPr>
              <w:pBdr>
                <w:top w:val="nil"/>
                <w:left w:val="nil"/>
                <w:bottom w:val="nil"/>
                <w:right w:val="nil"/>
                <w:between w:val="nil"/>
              </w:pBdr>
              <w:spacing w:before="9" w:line="249" w:lineRule="auto"/>
              <w:ind w:left="105" w:right="76"/>
            </w:pPr>
            <w:r>
              <w:rPr>
                <w:color w:val="000000"/>
              </w:rPr>
              <w:t>The judicial opinion in this case focused on the 1</w:t>
            </w:r>
            <w:r>
              <w:rPr>
                <w:color w:val="000000"/>
                <w:vertAlign w:val="superscript"/>
              </w:rPr>
              <w:t>st</w:t>
            </w:r>
            <w:r>
              <w:rPr>
                <w:color w:val="000000"/>
              </w:rPr>
              <w:t xml:space="preserve"> Amendment rights of students, specifically freedom of the press. </w:t>
            </w:r>
            <w:r>
              <w:t>The Supreme Court ruled that a school could prevent the publication of articles in the school newspaper or limit students' speech if it disrupted the school's learning environment.</w:t>
            </w:r>
          </w:p>
        </w:tc>
      </w:tr>
    </w:tbl>
    <w:p w14:paraId="3720F245" w14:textId="25117DEC" w:rsidR="00D36093" w:rsidRDefault="00D36093" w:rsidP="00B42E25">
      <w:pPr>
        <w:pStyle w:val="Heading1"/>
        <w:spacing w:before="134" w:after="2"/>
        <w:ind w:left="0" w:right="494"/>
      </w:pPr>
    </w:p>
    <w:p w14:paraId="2B189C3B" w14:textId="77777777" w:rsidR="00D36093" w:rsidRDefault="00D36093">
      <w:pPr>
        <w:widowControl/>
        <w:rPr>
          <w:b/>
          <w:bCs/>
          <w:sz w:val="24"/>
          <w:szCs w:val="24"/>
          <w:u w:val="single" w:color="000000"/>
        </w:rPr>
      </w:pPr>
      <w:r>
        <w:br w:type="page"/>
      </w:r>
    </w:p>
    <w:p w14:paraId="7BBD37C5" w14:textId="280426E2" w:rsidR="00D36093" w:rsidRDefault="00D36093" w:rsidP="00B42E25">
      <w:pPr>
        <w:pStyle w:val="Heading1"/>
        <w:spacing w:before="134" w:after="2"/>
        <w:ind w:left="0" w:right="494"/>
      </w:pPr>
      <w:r>
        <w:rPr>
          <w:noProof/>
        </w:rPr>
        <w:lastRenderedPageBreak/>
        <mc:AlternateContent>
          <mc:Choice Requires="wps">
            <w:drawing>
              <wp:anchor distT="0" distB="0" distL="114300" distR="114300" simplePos="0" relativeHeight="251676672" behindDoc="1" locked="0" layoutInCell="1" hidden="0" allowOverlap="1" wp14:anchorId="42546306" wp14:editId="101DF0BD">
                <wp:simplePos x="0" y="0"/>
                <wp:positionH relativeFrom="column">
                  <wp:posOffset>-63500</wp:posOffset>
                </wp:positionH>
                <wp:positionV relativeFrom="paragraph">
                  <wp:posOffset>127000</wp:posOffset>
                </wp:positionV>
                <wp:extent cx="6861175" cy="4216400"/>
                <wp:effectExtent l="0" t="0" r="9525" b="12700"/>
                <wp:wrapNone/>
                <wp:docPr id="4" name="Rectangle 4"/>
                <wp:cNvGraphicFramePr/>
                <a:graphic xmlns:a="http://schemas.openxmlformats.org/drawingml/2006/main">
                  <a:graphicData uri="http://schemas.microsoft.com/office/word/2010/wordprocessingShape">
                    <wps:wsp>
                      <wps:cNvSpPr/>
                      <wps:spPr>
                        <a:xfrm>
                          <a:off x="0" y="0"/>
                          <a:ext cx="6861175" cy="4216400"/>
                        </a:xfrm>
                        <a:prstGeom prst="rect">
                          <a:avLst/>
                        </a:prstGeom>
                        <a:noFill/>
                        <a:ln w="9525" cap="flat" cmpd="sng">
                          <a:solidFill>
                            <a:srgbClr val="000000"/>
                          </a:solidFill>
                          <a:prstDash val="solid"/>
                          <a:round/>
                          <a:headEnd type="none" w="sm" len="sm"/>
                          <a:tailEnd type="none" w="sm" len="sm"/>
                        </a:ln>
                      </wps:spPr>
                      <wps:txbx>
                        <w:txbxContent>
                          <w:p w14:paraId="3BEF6EDA" w14:textId="77777777" w:rsidR="00D36093" w:rsidRPr="00D36093" w:rsidRDefault="00D36093" w:rsidP="00D36093">
                            <w:pPr>
                              <w:pBdr>
                                <w:top w:val="nil"/>
                                <w:left w:val="nil"/>
                                <w:bottom w:val="nil"/>
                                <w:right w:val="nil"/>
                                <w:between w:val="nil"/>
                              </w:pBdr>
                              <w:spacing w:before="101" w:line="276" w:lineRule="auto"/>
                              <w:ind w:right="494"/>
                              <w:rPr>
                                <w:color w:val="000000"/>
                                <w:sz w:val="20"/>
                                <w:szCs w:val="20"/>
                              </w:rPr>
                            </w:pPr>
                            <w:r w:rsidRPr="00D36093">
                              <w:rPr>
                                <w:b/>
                                <w:color w:val="000000"/>
                                <w:sz w:val="20"/>
                                <w:szCs w:val="20"/>
                                <w:u w:val="single"/>
                              </w:rPr>
                              <w:t>Brown v. Board of Education</w:t>
                            </w:r>
                            <w:r w:rsidRPr="00D36093">
                              <w:rPr>
                                <w:color w:val="000000"/>
                                <w:sz w:val="20"/>
                                <w:szCs w:val="20"/>
                              </w:rPr>
                              <w:t xml:space="preserve"> - U.S. Supreme Court case that determined that “separate but equal” segregation was not equal in public </w:t>
                            </w:r>
                            <w:proofErr w:type="gramStart"/>
                            <w:r w:rsidRPr="00D36093">
                              <w:rPr>
                                <w:color w:val="000000"/>
                                <w:sz w:val="20"/>
                                <w:szCs w:val="20"/>
                              </w:rPr>
                              <w:t>education</w:t>
                            </w:r>
                            <w:proofErr w:type="gramEnd"/>
                          </w:p>
                          <w:p w14:paraId="6B7C623B" w14:textId="77777777" w:rsidR="00D36093" w:rsidRPr="00D36093" w:rsidRDefault="00D36093" w:rsidP="00D36093">
                            <w:pPr>
                              <w:pBdr>
                                <w:top w:val="nil"/>
                                <w:left w:val="nil"/>
                                <w:bottom w:val="nil"/>
                                <w:right w:val="nil"/>
                                <w:between w:val="nil"/>
                              </w:pBdr>
                              <w:spacing w:before="133" w:line="276" w:lineRule="auto"/>
                              <w:ind w:right="494"/>
                              <w:rPr>
                                <w:color w:val="000000"/>
                                <w:sz w:val="20"/>
                                <w:szCs w:val="20"/>
                              </w:rPr>
                            </w:pPr>
                            <w:r w:rsidRPr="00D36093">
                              <w:rPr>
                                <w:b/>
                                <w:color w:val="000000"/>
                                <w:sz w:val="20"/>
                                <w:szCs w:val="20"/>
                                <w:u w:val="single"/>
                              </w:rPr>
                              <w:t>Dred Scott v. Sanford</w:t>
                            </w:r>
                            <w:r w:rsidRPr="00D36093">
                              <w:rPr>
                                <w:color w:val="000000"/>
                                <w:sz w:val="20"/>
                                <w:szCs w:val="20"/>
                              </w:rPr>
                              <w:t xml:space="preserve"> – U.S. Supreme Court case that upheld the constitutionality of racial segregation under the “separate but equal” </w:t>
                            </w:r>
                            <w:proofErr w:type="gramStart"/>
                            <w:r w:rsidRPr="00D36093">
                              <w:rPr>
                                <w:color w:val="000000"/>
                                <w:sz w:val="20"/>
                                <w:szCs w:val="20"/>
                              </w:rPr>
                              <w:t>doctrine</w:t>
                            </w:r>
                            <w:proofErr w:type="gramEnd"/>
                          </w:p>
                          <w:p w14:paraId="1DD164C0" w14:textId="77777777" w:rsidR="00D36093" w:rsidRPr="00D36093" w:rsidRDefault="00D36093" w:rsidP="00D36093">
                            <w:pPr>
                              <w:pBdr>
                                <w:top w:val="nil"/>
                                <w:left w:val="nil"/>
                                <w:bottom w:val="nil"/>
                                <w:right w:val="nil"/>
                                <w:between w:val="nil"/>
                              </w:pBdr>
                              <w:spacing w:before="133" w:line="276" w:lineRule="auto"/>
                              <w:ind w:right="494"/>
                              <w:rPr>
                                <w:color w:val="000000"/>
                                <w:sz w:val="20"/>
                                <w:szCs w:val="20"/>
                              </w:rPr>
                            </w:pPr>
                            <w:r w:rsidRPr="00D36093">
                              <w:rPr>
                                <w:b/>
                                <w:i/>
                                <w:color w:val="000000"/>
                                <w:sz w:val="20"/>
                                <w:szCs w:val="20"/>
                                <w:u w:val="single"/>
                              </w:rPr>
                              <w:t>Gideon v. Wainwright</w:t>
                            </w:r>
                            <w:r w:rsidRPr="00D36093">
                              <w:rPr>
                                <w:b/>
                                <w:i/>
                                <w:color w:val="000000"/>
                                <w:sz w:val="20"/>
                                <w:szCs w:val="20"/>
                              </w:rPr>
                              <w:t xml:space="preserve"> </w:t>
                            </w:r>
                            <w:r w:rsidRPr="00D36093">
                              <w:rPr>
                                <w:color w:val="000000"/>
                                <w:sz w:val="20"/>
                                <w:szCs w:val="20"/>
                              </w:rPr>
                              <w:t xml:space="preserve">- U.S. Supreme Court case that upheld the Sixth Amendment right that all defendants must be appointed a lawyer if they cannot afford their own </w:t>
                            </w:r>
                            <w:proofErr w:type="gramStart"/>
                            <w:r w:rsidRPr="00D36093">
                              <w:rPr>
                                <w:color w:val="000000"/>
                                <w:sz w:val="20"/>
                                <w:szCs w:val="20"/>
                              </w:rPr>
                              <w:t>attorney</w:t>
                            </w:r>
                            <w:proofErr w:type="gramEnd"/>
                          </w:p>
                          <w:p w14:paraId="0512E236" w14:textId="77777777" w:rsidR="00D36093" w:rsidRPr="00D36093" w:rsidRDefault="00D36093" w:rsidP="00D36093">
                            <w:pPr>
                              <w:pBdr>
                                <w:top w:val="nil"/>
                                <w:left w:val="nil"/>
                                <w:bottom w:val="nil"/>
                                <w:right w:val="nil"/>
                                <w:between w:val="nil"/>
                              </w:pBdr>
                              <w:spacing w:before="133" w:line="276" w:lineRule="auto"/>
                              <w:ind w:right="494"/>
                              <w:rPr>
                                <w:color w:val="000000"/>
                                <w:sz w:val="20"/>
                                <w:szCs w:val="20"/>
                              </w:rPr>
                            </w:pPr>
                            <w:r w:rsidRPr="00D36093">
                              <w:rPr>
                                <w:b/>
                                <w:color w:val="000000"/>
                                <w:sz w:val="20"/>
                                <w:szCs w:val="20"/>
                                <w:u w:val="single"/>
                              </w:rPr>
                              <w:t>Hazelwood v. Kuhlmeier</w:t>
                            </w:r>
                            <w:r w:rsidRPr="00D36093">
                              <w:rPr>
                                <w:b/>
                                <w:color w:val="000000"/>
                                <w:sz w:val="20"/>
                                <w:szCs w:val="20"/>
                              </w:rPr>
                              <w:t xml:space="preserve"> </w:t>
                            </w:r>
                            <w:r w:rsidRPr="00D36093">
                              <w:rPr>
                                <w:color w:val="000000"/>
                                <w:sz w:val="20"/>
                                <w:szCs w:val="20"/>
                              </w:rPr>
                              <w:t xml:space="preserve">- U.S. Supreme Court case that determined that the First Amendment does not protect all types of student speech in </w:t>
                            </w:r>
                            <w:proofErr w:type="gramStart"/>
                            <w:r w:rsidRPr="00D36093">
                              <w:rPr>
                                <w:color w:val="000000"/>
                                <w:sz w:val="20"/>
                                <w:szCs w:val="20"/>
                              </w:rPr>
                              <w:t>school</w:t>
                            </w:r>
                            <w:proofErr w:type="gramEnd"/>
                          </w:p>
                          <w:p w14:paraId="407CD788" w14:textId="77777777" w:rsidR="00D36093" w:rsidRPr="00D36093" w:rsidRDefault="00D36093" w:rsidP="00D36093">
                            <w:pPr>
                              <w:spacing w:before="146" w:line="276" w:lineRule="auto"/>
                              <w:rPr>
                                <w:sz w:val="20"/>
                                <w:szCs w:val="20"/>
                              </w:rPr>
                            </w:pPr>
                            <w:r w:rsidRPr="00D36093">
                              <w:rPr>
                                <w:b/>
                                <w:sz w:val="20"/>
                                <w:szCs w:val="20"/>
                                <w:u w:val="single"/>
                              </w:rPr>
                              <w:t>In re’ Gault</w:t>
                            </w:r>
                            <w:r w:rsidRPr="00D36093">
                              <w:rPr>
                                <w:sz w:val="20"/>
                                <w:szCs w:val="20"/>
                              </w:rPr>
                              <w:t xml:space="preserve"> - U.S. Supreme Court case that determined that juvenile court must follow the Fourteenth Amendment</w:t>
                            </w:r>
                          </w:p>
                          <w:p w14:paraId="106552CD" w14:textId="77777777" w:rsidR="00D36093" w:rsidRPr="00D36093" w:rsidRDefault="00D36093" w:rsidP="00D36093">
                            <w:pPr>
                              <w:pBdr>
                                <w:top w:val="nil"/>
                                <w:left w:val="nil"/>
                                <w:bottom w:val="nil"/>
                                <w:right w:val="nil"/>
                                <w:between w:val="nil"/>
                              </w:pBdr>
                              <w:spacing w:before="148" w:line="276" w:lineRule="auto"/>
                              <w:rPr>
                                <w:color w:val="000000"/>
                                <w:sz w:val="20"/>
                                <w:szCs w:val="20"/>
                              </w:rPr>
                            </w:pPr>
                            <w:r w:rsidRPr="00D36093">
                              <w:rPr>
                                <w:b/>
                                <w:color w:val="000000"/>
                                <w:sz w:val="20"/>
                                <w:szCs w:val="20"/>
                                <w:u w:val="single"/>
                              </w:rPr>
                              <w:t>Marbury v. Madison</w:t>
                            </w:r>
                            <w:r w:rsidRPr="00D36093">
                              <w:rPr>
                                <w:color w:val="000000"/>
                                <w:sz w:val="20"/>
                                <w:szCs w:val="20"/>
                              </w:rPr>
                              <w:t xml:space="preserve"> - U.S. Supreme Court case that established judicial </w:t>
                            </w:r>
                            <w:proofErr w:type="gramStart"/>
                            <w:r w:rsidRPr="00D36093">
                              <w:rPr>
                                <w:color w:val="000000"/>
                                <w:sz w:val="20"/>
                                <w:szCs w:val="20"/>
                              </w:rPr>
                              <w:t>review</w:t>
                            </w:r>
                            <w:proofErr w:type="gramEnd"/>
                          </w:p>
                          <w:p w14:paraId="1A264683" w14:textId="77777777" w:rsidR="00D36093" w:rsidRPr="00D36093" w:rsidRDefault="00D36093" w:rsidP="00D36093">
                            <w:pPr>
                              <w:pBdr>
                                <w:top w:val="nil"/>
                                <w:left w:val="nil"/>
                                <w:bottom w:val="nil"/>
                                <w:right w:val="nil"/>
                                <w:between w:val="nil"/>
                              </w:pBdr>
                              <w:spacing w:before="148" w:line="276" w:lineRule="auto"/>
                              <w:rPr>
                                <w:color w:val="000000"/>
                                <w:sz w:val="20"/>
                                <w:szCs w:val="20"/>
                              </w:rPr>
                            </w:pPr>
                            <w:r w:rsidRPr="00D36093">
                              <w:rPr>
                                <w:b/>
                                <w:i/>
                                <w:color w:val="000000"/>
                                <w:sz w:val="20"/>
                                <w:szCs w:val="20"/>
                                <w:u w:val="single"/>
                              </w:rPr>
                              <w:t>Miranda v. Arizona</w:t>
                            </w:r>
                            <w:r w:rsidRPr="00D36093">
                              <w:rPr>
                                <w:b/>
                                <w:i/>
                                <w:color w:val="000000"/>
                                <w:sz w:val="20"/>
                                <w:szCs w:val="20"/>
                              </w:rPr>
                              <w:t xml:space="preserve"> </w:t>
                            </w:r>
                            <w:r w:rsidRPr="00D36093">
                              <w:rPr>
                                <w:color w:val="000000"/>
                                <w:sz w:val="20"/>
                                <w:szCs w:val="20"/>
                              </w:rPr>
                              <w:t xml:space="preserve">- U.S. Supreme Court cases that upheld the Fifth Amendment protection from </w:t>
                            </w:r>
                            <w:proofErr w:type="gramStart"/>
                            <w:r w:rsidRPr="00D36093">
                              <w:rPr>
                                <w:color w:val="000000"/>
                                <w:sz w:val="20"/>
                                <w:szCs w:val="20"/>
                              </w:rPr>
                              <w:t>self-incrimination</w:t>
                            </w:r>
                            <w:proofErr w:type="gramEnd"/>
                          </w:p>
                          <w:p w14:paraId="496BC05E" w14:textId="77777777" w:rsidR="00D36093" w:rsidRPr="00D36093" w:rsidRDefault="00D36093" w:rsidP="00D36093">
                            <w:pPr>
                              <w:pBdr>
                                <w:top w:val="nil"/>
                                <w:left w:val="nil"/>
                                <w:bottom w:val="nil"/>
                                <w:right w:val="nil"/>
                                <w:between w:val="nil"/>
                              </w:pBdr>
                              <w:spacing w:before="153" w:line="276" w:lineRule="auto"/>
                              <w:ind w:right="494"/>
                              <w:rPr>
                                <w:color w:val="000000"/>
                                <w:sz w:val="20"/>
                                <w:szCs w:val="20"/>
                              </w:rPr>
                            </w:pPr>
                            <w:r w:rsidRPr="00D36093">
                              <w:rPr>
                                <w:b/>
                                <w:color w:val="000000"/>
                                <w:sz w:val="20"/>
                                <w:szCs w:val="20"/>
                                <w:u w:val="single"/>
                              </w:rPr>
                              <w:t>Plessy v. Ferguson</w:t>
                            </w:r>
                            <w:r w:rsidRPr="00D36093">
                              <w:rPr>
                                <w:b/>
                                <w:color w:val="000000"/>
                                <w:sz w:val="20"/>
                                <w:szCs w:val="20"/>
                              </w:rPr>
                              <w:t xml:space="preserve"> - </w:t>
                            </w:r>
                            <w:r w:rsidRPr="00D36093">
                              <w:rPr>
                                <w:color w:val="000000"/>
                                <w:sz w:val="20"/>
                                <w:szCs w:val="20"/>
                              </w:rPr>
                              <w:t xml:space="preserve">U.S. Supreme Court case that determined that “separate but equal” segregation was not </w:t>
                            </w:r>
                            <w:proofErr w:type="gramStart"/>
                            <w:r w:rsidRPr="00D36093">
                              <w:rPr>
                                <w:color w:val="000000"/>
                                <w:sz w:val="20"/>
                                <w:szCs w:val="20"/>
                              </w:rPr>
                              <w:t>discrimination</w:t>
                            </w:r>
                            <w:proofErr w:type="gramEnd"/>
                          </w:p>
                          <w:p w14:paraId="45BFB981" w14:textId="77777777" w:rsidR="00D36093" w:rsidRPr="00D36093" w:rsidRDefault="00D36093" w:rsidP="00D36093">
                            <w:pPr>
                              <w:pBdr>
                                <w:top w:val="nil"/>
                                <w:left w:val="nil"/>
                                <w:bottom w:val="nil"/>
                                <w:right w:val="nil"/>
                                <w:between w:val="nil"/>
                              </w:pBdr>
                              <w:spacing w:before="153" w:line="276" w:lineRule="auto"/>
                              <w:ind w:right="494"/>
                              <w:rPr>
                                <w:color w:val="000000"/>
                                <w:sz w:val="20"/>
                                <w:szCs w:val="20"/>
                              </w:rPr>
                            </w:pPr>
                            <w:r w:rsidRPr="00D36093">
                              <w:rPr>
                                <w:b/>
                                <w:color w:val="000000"/>
                                <w:sz w:val="20"/>
                                <w:szCs w:val="20"/>
                                <w:u w:val="single"/>
                              </w:rPr>
                              <w:t>rights of the accused</w:t>
                            </w:r>
                            <w:r w:rsidRPr="00D36093">
                              <w:rPr>
                                <w:b/>
                                <w:color w:val="000000"/>
                                <w:sz w:val="20"/>
                                <w:szCs w:val="20"/>
                              </w:rPr>
                              <w:t xml:space="preserve"> </w:t>
                            </w:r>
                            <w:r w:rsidRPr="00D36093">
                              <w:rPr>
                                <w:color w:val="000000"/>
                                <w:sz w:val="20"/>
                                <w:szCs w:val="20"/>
                              </w:rPr>
                              <w:t xml:space="preserve">- the rights included in the Fourth, Fifth and Sixth Amendments: protection from unreasonable search and seizure, double jeopardy, and self-incrimination, the right to due process, right to a speedy and public trial, trial by jury, the right to be informed of criminal charges, right to confront witnesses in court, right to an attorney, protection from self- </w:t>
                            </w:r>
                            <w:proofErr w:type="gramStart"/>
                            <w:r w:rsidRPr="00D36093">
                              <w:rPr>
                                <w:color w:val="000000"/>
                                <w:sz w:val="20"/>
                                <w:szCs w:val="20"/>
                              </w:rPr>
                              <w:t>incrimination</w:t>
                            </w:r>
                            <w:proofErr w:type="gramEnd"/>
                          </w:p>
                          <w:p w14:paraId="673C5E28" w14:textId="77777777" w:rsidR="00D36093" w:rsidRPr="00D36093" w:rsidRDefault="00D36093" w:rsidP="00D36093">
                            <w:pPr>
                              <w:pBdr>
                                <w:top w:val="nil"/>
                                <w:left w:val="nil"/>
                                <w:bottom w:val="nil"/>
                                <w:right w:val="nil"/>
                                <w:between w:val="nil"/>
                              </w:pBdr>
                              <w:spacing w:before="153" w:line="276" w:lineRule="auto"/>
                              <w:ind w:right="494"/>
                              <w:rPr>
                                <w:b/>
                                <w:color w:val="000000"/>
                                <w:sz w:val="20"/>
                                <w:szCs w:val="20"/>
                              </w:rPr>
                            </w:pPr>
                            <w:r w:rsidRPr="00D36093">
                              <w:rPr>
                                <w:b/>
                                <w:i/>
                                <w:color w:val="000000"/>
                                <w:sz w:val="20"/>
                                <w:szCs w:val="20"/>
                                <w:u w:val="single"/>
                              </w:rPr>
                              <w:t>United States v. Nixon</w:t>
                            </w:r>
                            <w:r w:rsidRPr="00D36093">
                              <w:rPr>
                                <w:b/>
                                <w:i/>
                                <w:color w:val="000000"/>
                                <w:sz w:val="20"/>
                                <w:szCs w:val="20"/>
                              </w:rPr>
                              <w:t xml:space="preserve"> </w:t>
                            </w:r>
                            <w:r w:rsidRPr="00D36093">
                              <w:rPr>
                                <w:color w:val="000000"/>
                                <w:sz w:val="20"/>
                                <w:szCs w:val="20"/>
                              </w:rPr>
                              <w:t xml:space="preserve">- U.S. Supreme Court case that limited executive </w:t>
                            </w:r>
                            <w:proofErr w:type="gramStart"/>
                            <w:r w:rsidRPr="00D36093">
                              <w:rPr>
                                <w:color w:val="000000"/>
                                <w:sz w:val="20"/>
                                <w:szCs w:val="20"/>
                              </w:rPr>
                              <w:t>privilege</w:t>
                            </w:r>
                            <w:proofErr w:type="gramEnd"/>
                          </w:p>
                          <w:p w14:paraId="245D3D44" w14:textId="77777777" w:rsidR="00D36093" w:rsidRPr="00D36093" w:rsidRDefault="00D36093" w:rsidP="00D36093">
                            <w:pPr>
                              <w:spacing w:line="276" w:lineRule="auto"/>
                              <w:textDirection w:val="btLr"/>
                              <w:rPr>
                                <w:sz w:val="24"/>
                                <w:szCs w:val="24"/>
                              </w:rP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42546306" id="Rectangle 4" o:spid="_x0000_s1029" style="position:absolute;margin-left:-5pt;margin-top:10pt;width:540.25pt;height:332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" filled="f">
                <v:stroke startarrowwidth="narrow" startarrowlength="short" endarrowwidth="narrow" endarrowlength="short" joinstyle="round"/>
                <v:textbox inset="2.53958mm,2.53958mm,2.53958mm,2.53958mm">
                  <w:txbxContent>
                    <w:p w14:paraId="3BEF6EDA" w14:textId="77777777" w:rsidR="00D36093" w:rsidRPr="00D36093" w:rsidRDefault="00D36093" w:rsidP="00D36093">
                      <w:pPr>
                        <w:pBdr>
                          <w:top w:val="nil"/>
                          <w:left w:val="nil"/>
                          <w:bottom w:val="nil"/>
                          <w:right w:val="nil"/>
                          <w:between w:val="nil"/>
                        </w:pBdr>
                        <w:spacing w:before="101" w:line="276" w:lineRule="auto"/>
                        <w:ind w:right="494"/>
                        <w:rPr>
                          <w:color w:val="000000"/>
                          <w:sz w:val="20"/>
                          <w:szCs w:val="20"/>
                        </w:rPr>
                      </w:pPr>
                      <w:r w:rsidRPr="00D36093">
                        <w:rPr>
                          <w:b/>
                          <w:color w:val="000000"/>
                          <w:sz w:val="20"/>
                          <w:szCs w:val="20"/>
                          <w:u w:val="single"/>
                        </w:rPr>
                        <w:t>Brown v. Board of Education</w:t>
                      </w:r>
                      <w:r w:rsidRPr="00D36093">
                        <w:rPr>
                          <w:color w:val="000000"/>
                          <w:sz w:val="20"/>
                          <w:szCs w:val="20"/>
                        </w:rPr>
                        <w:t xml:space="preserve"> - U.S. Supreme Court case that determined that “separate but equal” segregation was not equal in public </w:t>
                      </w:r>
                      <w:proofErr w:type="gramStart"/>
                      <w:r w:rsidRPr="00D36093">
                        <w:rPr>
                          <w:color w:val="000000"/>
                          <w:sz w:val="20"/>
                          <w:szCs w:val="20"/>
                        </w:rPr>
                        <w:t>education</w:t>
                      </w:r>
                      <w:proofErr w:type="gramEnd"/>
                    </w:p>
                    <w:p w14:paraId="6B7C623B" w14:textId="77777777" w:rsidR="00D36093" w:rsidRPr="00D36093" w:rsidRDefault="00D36093" w:rsidP="00D36093">
                      <w:pPr>
                        <w:pBdr>
                          <w:top w:val="nil"/>
                          <w:left w:val="nil"/>
                          <w:bottom w:val="nil"/>
                          <w:right w:val="nil"/>
                          <w:between w:val="nil"/>
                        </w:pBdr>
                        <w:spacing w:before="133" w:line="276" w:lineRule="auto"/>
                        <w:ind w:right="494"/>
                        <w:rPr>
                          <w:color w:val="000000"/>
                          <w:sz w:val="20"/>
                          <w:szCs w:val="20"/>
                        </w:rPr>
                      </w:pPr>
                      <w:r w:rsidRPr="00D36093">
                        <w:rPr>
                          <w:b/>
                          <w:color w:val="000000"/>
                          <w:sz w:val="20"/>
                          <w:szCs w:val="20"/>
                          <w:u w:val="single"/>
                        </w:rPr>
                        <w:t>Dred Scott v. Sanford</w:t>
                      </w:r>
                      <w:r w:rsidRPr="00D36093">
                        <w:rPr>
                          <w:color w:val="000000"/>
                          <w:sz w:val="20"/>
                          <w:szCs w:val="20"/>
                        </w:rPr>
                        <w:t xml:space="preserve"> – U.S. Supreme Court case that upheld the constitutionality of racial segregation under the “separate but equal” </w:t>
                      </w:r>
                      <w:proofErr w:type="gramStart"/>
                      <w:r w:rsidRPr="00D36093">
                        <w:rPr>
                          <w:color w:val="000000"/>
                          <w:sz w:val="20"/>
                          <w:szCs w:val="20"/>
                        </w:rPr>
                        <w:t>doctrine</w:t>
                      </w:r>
                      <w:proofErr w:type="gramEnd"/>
                    </w:p>
                    <w:p w14:paraId="1DD164C0" w14:textId="77777777" w:rsidR="00D36093" w:rsidRPr="00D36093" w:rsidRDefault="00D36093" w:rsidP="00D36093">
                      <w:pPr>
                        <w:pBdr>
                          <w:top w:val="nil"/>
                          <w:left w:val="nil"/>
                          <w:bottom w:val="nil"/>
                          <w:right w:val="nil"/>
                          <w:between w:val="nil"/>
                        </w:pBdr>
                        <w:spacing w:before="133" w:line="276" w:lineRule="auto"/>
                        <w:ind w:right="494"/>
                        <w:rPr>
                          <w:color w:val="000000"/>
                          <w:sz w:val="20"/>
                          <w:szCs w:val="20"/>
                        </w:rPr>
                      </w:pPr>
                      <w:r w:rsidRPr="00D36093">
                        <w:rPr>
                          <w:b/>
                          <w:i/>
                          <w:color w:val="000000"/>
                          <w:sz w:val="20"/>
                          <w:szCs w:val="20"/>
                          <w:u w:val="single"/>
                        </w:rPr>
                        <w:t>Gideon v. Wainwright</w:t>
                      </w:r>
                      <w:r w:rsidRPr="00D36093">
                        <w:rPr>
                          <w:b/>
                          <w:i/>
                          <w:color w:val="000000"/>
                          <w:sz w:val="20"/>
                          <w:szCs w:val="20"/>
                        </w:rPr>
                        <w:t xml:space="preserve"> </w:t>
                      </w:r>
                      <w:r w:rsidRPr="00D36093">
                        <w:rPr>
                          <w:color w:val="000000"/>
                          <w:sz w:val="20"/>
                          <w:szCs w:val="20"/>
                        </w:rPr>
                        <w:t xml:space="preserve">- U.S. Supreme Court case that upheld the Sixth Amendment right that all defendants must be appointed a lawyer if they cannot afford their own </w:t>
                      </w:r>
                      <w:proofErr w:type="gramStart"/>
                      <w:r w:rsidRPr="00D36093">
                        <w:rPr>
                          <w:color w:val="000000"/>
                          <w:sz w:val="20"/>
                          <w:szCs w:val="20"/>
                        </w:rPr>
                        <w:t>attorney</w:t>
                      </w:r>
                      <w:proofErr w:type="gramEnd"/>
                    </w:p>
                    <w:p w14:paraId="0512E236" w14:textId="77777777" w:rsidR="00D36093" w:rsidRPr="00D36093" w:rsidRDefault="00D36093" w:rsidP="00D36093">
                      <w:pPr>
                        <w:pBdr>
                          <w:top w:val="nil"/>
                          <w:left w:val="nil"/>
                          <w:bottom w:val="nil"/>
                          <w:right w:val="nil"/>
                          <w:between w:val="nil"/>
                        </w:pBdr>
                        <w:spacing w:before="133" w:line="276" w:lineRule="auto"/>
                        <w:ind w:right="494"/>
                        <w:rPr>
                          <w:color w:val="000000"/>
                          <w:sz w:val="20"/>
                          <w:szCs w:val="20"/>
                        </w:rPr>
                      </w:pPr>
                      <w:r w:rsidRPr="00D36093">
                        <w:rPr>
                          <w:b/>
                          <w:color w:val="000000"/>
                          <w:sz w:val="20"/>
                          <w:szCs w:val="20"/>
                          <w:u w:val="single"/>
                        </w:rPr>
                        <w:t>Hazelwood v. Kuhlmeier</w:t>
                      </w:r>
                      <w:r w:rsidRPr="00D36093">
                        <w:rPr>
                          <w:b/>
                          <w:color w:val="000000"/>
                          <w:sz w:val="20"/>
                          <w:szCs w:val="20"/>
                        </w:rPr>
                        <w:t xml:space="preserve"> </w:t>
                      </w:r>
                      <w:r w:rsidRPr="00D36093">
                        <w:rPr>
                          <w:color w:val="000000"/>
                          <w:sz w:val="20"/>
                          <w:szCs w:val="20"/>
                        </w:rPr>
                        <w:t xml:space="preserve">- U.S. Supreme Court case that determined that the First Amendment does not protect all types of student speech in </w:t>
                      </w:r>
                      <w:proofErr w:type="gramStart"/>
                      <w:r w:rsidRPr="00D36093">
                        <w:rPr>
                          <w:color w:val="000000"/>
                          <w:sz w:val="20"/>
                          <w:szCs w:val="20"/>
                        </w:rPr>
                        <w:t>school</w:t>
                      </w:r>
                      <w:proofErr w:type="gramEnd"/>
                    </w:p>
                    <w:p w14:paraId="407CD788" w14:textId="77777777" w:rsidR="00D36093" w:rsidRPr="00D36093" w:rsidRDefault="00D36093" w:rsidP="00D36093">
                      <w:pPr>
                        <w:spacing w:before="146" w:line="276" w:lineRule="auto"/>
                        <w:rPr>
                          <w:sz w:val="20"/>
                          <w:szCs w:val="20"/>
                        </w:rPr>
                      </w:pPr>
                      <w:r w:rsidRPr="00D36093">
                        <w:rPr>
                          <w:b/>
                          <w:sz w:val="20"/>
                          <w:szCs w:val="20"/>
                          <w:u w:val="single"/>
                        </w:rPr>
                        <w:t>In re’ Gault</w:t>
                      </w:r>
                      <w:r w:rsidRPr="00D36093">
                        <w:rPr>
                          <w:sz w:val="20"/>
                          <w:szCs w:val="20"/>
                        </w:rPr>
                        <w:t xml:space="preserve"> - U.S. Supreme Court case that determined that juvenile court must follow the Fourteenth Amendment</w:t>
                      </w:r>
                    </w:p>
                    <w:p w14:paraId="106552CD" w14:textId="77777777" w:rsidR="00D36093" w:rsidRPr="00D36093" w:rsidRDefault="00D36093" w:rsidP="00D36093">
                      <w:pPr>
                        <w:pBdr>
                          <w:top w:val="nil"/>
                          <w:left w:val="nil"/>
                          <w:bottom w:val="nil"/>
                          <w:right w:val="nil"/>
                          <w:between w:val="nil"/>
                        </w:pBdr>
                        <w:spacing w:before="148" w:line="276" w:lineRule="auto"/>
                        <w:rPr>
                          <w:color w:val="000000"/>
                          <w:sz w:val="20"/>
                          <w:szCs w:val="20"/>
                        </w:rPr>
                      </w:pPr>
                      <w:r w:rsidRPr="00D36093">
                        <w:rPr>
                          <w:b/>
                          <w:color w:val="000000"/>
                          <w:sz w:val="20"/>
                          <w:szCs w:val="20"/>
                          <w:u w:val="single"/>
                        </w:rPr>
                        <w:t>Marbury v. Madison</w:t>
                      </w:r>
                      <w:r w:rsidRPr="00D36093">
                        <w:rPr>
                          <w:color w:val="000000"/>
                          <w:sz w:val="20"/>
                          <w:szCs w:val="20"/>
                        </w:rPr>
                        <w:t xml:space="preserve"> - U.S. Supreme Court case that established judicial </w:t>
                      </w:r>
                      <w:proofErr w:type="gramStart"/>
                      <w:r w:rsidRPr="00D36093">
                        <w:rPr>
                          <w:color w:val="000000"/>
                          <w:sz w:val="20"/>
                          <w:szCs w:val="20"/>
                        </w:rPr>
                        <w:t>review</w:t>
                      </w:r>
                      <w:proofErr w:type="gramEnd"/>
                    </w:p>
                    <w:p w14:paraId="1A264683" w14:textId="77777777" w:rsidR="00D36093" w:rsidRPr="00D36093" w:rsidRDefault="00D36093" w:rsidP="00D36093">
                      <w:pPr>
                        <w:pBdr>
                          <w:top w:val="nil"/>
                          <w:left w:val="nil"/>
                          <w:bottom w:val="nil"/>
                          <w:right w:val="nil"/>
                          <w:between w:val="nil"/>
                        </w:pBdr>
                        <w:spacing w:before="148" w:line="276" w:lineRule="auto"/>
                        <w:rPr>
                          <w:color w:val="000000"/>
                          <w:sz w:val="20"/>
                          <w:szCs w:val="20"/>
                        </w:rPr>
                      </w:pPr>
                      <w:r w:rsidRPr="00D36093">
                        <w:rPr>
                          <w:b/>
                          <w:i/>
                          <w:color w:val="000000"/>
                          <w:sz w:val="20"/>
                          <w:szCs w:val="20"/>
                          <w:u w:val="single"/>
                        </w:rPr>
                        <w:t>Miranda v. Arizona</w:t>
                      </w:r>
                      <w:r w:rsidRPr="00D36093">
                        <w:rPr>
                          <w:b/>
                          <w:i/>
                          <w:color w:val="000000"/>
                          <w:sz w:val="20"/>
                          <w:szCs w:val="20"/>
                        </w:rPr>
                        <w:t xml:space="preserve"> </w:t>
                      </w:r>
                      <w:r w:rsidRPr="00D36093">
                        <w:rPr>
                          <w:color w:val="000000"/>
                          <w:sz w:val="20"/>
                          <w:szCs w:val="20"/>
                        </w:rPr>
                        <w:t xml:space="preserve">- U.S. Supreme Court cases that upheld the Fifth Amendment protection from </w:t>
                      </w:r>
                      <w:proofErr w:type="gramStart"/>
                      <w:r w:rsidRPr="00D36093">
                        <w:rPr>
                          <w:color w:val="000000"/>
                          <w:sz w:val="20"/>
                          <w:szCs w:val="20"/>
                        </w:rPr>
                        <w:t>self-incrimination</w:t>
                      </w:r>
                      <w:proofErr w:type="gramEnd"/>
                    </w:p>
                    <w:p w14:paraId="496BC05E" w14:textId="77777777" w:rsidR="00D36093" w:rsidRPr="00D36093" w:rsidRDefault="00D36093" w:rsidP="00D36093">
                      <w:pPr>
                        <w:pBdr>
                          <w:top w:val="nil"/>
                          <w:left w:val="nil"/>
                          <w:bottom w:val="nil"/>
                          <w:right w:val="nil"/>
                          <w:between w:val="nil"/>
                        </w:pBdr>
                        <w:spacing w:before="153" w:line="276" w:lineRule="auto"/>
                        <w:ind w:right="494"/>
                        <w:rPr>
                          <w:color w:val="000000"/>
                          <w:sz w:val="20"/>
                          <w:szCs w:val="20"/>
                        </w:rPr>
                      </w:pPr>
                      <w:r w:rsidRPr="00D36093">
                        <w:rPr>
                          <w:b/>
                          <w:color w:val="000000"/>
                          <w:sz w:val="20"/>
                          <w:szCs w:val="20"/>
                          <w:u w:val="single"/>
                        </w:rPr>
                        <w:t>Plessy v. Ferguson</w:t>
                      </w:r>
                      <w:r w:rsidRPr="00D36093">
                        <w:rPr>
                          <w:b/>
                          <w:color w:val="000000"/>
                          <w:sz w:val="20"/>
                          <w:szCs w:val="20"/>
                        </w:rPr>
                        <w:t xml:space="preserve"> - </w:t>
                      </w:r>
                      <w:r w:rsidRPr="00D36093">
                        <w:rPr>
                          <w:color w:val="000000"/>
                          <w:sz w:val="20"/>
                          <w:szCs w:val="20"/>
                        </w:rPr>
                        <w:t xml:space="preserve">U.S. Supreme Court case that determined that “separate but equal” segregation was not </w:t>
                      </w:r>
                      <w:proofErr w:type="gramStart"/>
                      <w:r w:rsidRPr="00D36093">
                        <w:rPr>
                          <w:color w:val="000000"/>
                          <w:sz w:val="20"/>
                          <w:szCs w:val="20"/>
                        </w:rPr>
                        <w:t>discrimination</w:t>
                      </w:r>
                      <w:proofErr w:type="gramEnd"/>
                    </w:p>
                    <w:p w14:paraId="45BFB981" w14:textId="77777777" w:rsidR="00D36093" w:rsidRPr="00D36093" w:rsidRDefault="00D36093" w:rsidP="00D36093">
                      <w:pPr>
                        <w:pBdr>
                          <w:top w:val="nil"/>
                          <w:left w:val="nil"/>
                          <w:bottom w:val="nil"/>
                          <w:right w:val="nil"/>
                          <w:between w:val="nil"/>
                        </w:pBdr>
                        <w:spacing w:before="153" w:line="276" w:lineRule="auto"/>
                        <w:ind w:right="494"/>
                        <w:rPr>
                          <w:color w:val="000000"/>
                          <w:sz w:val="20"/>
                          <w:szCs w:val="20"/>
                        </w:rPr>
                      </w:pPr>
                      <w:r w:rsidRPr="00D36093">
                        <w:rPr>
                          <w:b/>
                          <w:color w:val="000000"/>
                          <w:sz w:val="20"/>
                          <w:szCs w:val="20"/>
                          <w:u w:val="single"/>
                        </w:rPr>
                        <w:t>rights of the accused</w:t>
                      </w:r>
                      <w:r w:rsidRPr="00D36093">
                        <w:rPr>
                          <w:b/>
                          <w:color w:val="000000"/>
                          <w:sz w:val="20"/>
                          <w:szCs w:val="20"/>
                        </w:rPr>
                        <w:t xml:space="preserve"> </w:t>
                      </w:r>
                      <w:r w:rsidRPr="00D36093">
                        <w:rPr>
                          <w:color w:val="000000"/>
                          <w:sz w:val="20"/>
                          <w:szCs w:val="20"/>
                        </w:rPr>
                        <w:t xml:space="preserve">- the rights included in the Fourth, Fifth and Sixth Amendments: protection from unreasonable search and seizure, double jeopardy, and self-incrimination, the right to due process, right to a speedy and public trial, trial by jury, the right to be informed of criminal charges, right to confront witnesses in court, right to an attorney, protection from self- </w:t>
                      </w:r>
                      <w:proofErr w:type="gramStart"/>
                      <w:r w:rsidRPr="00D36093">
                        <w:rPr>
                          <w:color w:val="000000"/>
                          <w:sz w:val="20"/>
                          <w:szCs w:val="20"/>
                        </w:rPr>
                        <w:t>incrimination</w:t>
                      </w:r>
                      <w:proofErr w:type="gramEnd"/>
                    </w:p>
                    <w:p w14:paraId="673C5E28" w14:textId="77777777" w:rsidR="00D36093" w:rsidRPr="00D36093" w:rsidRDefault="00D36093" w:rsidP="00D36093">
                      <w:pPr>
                        <w:pBdr>
                          <w:top w:val="nil"/>
                          <w:left w:val="nil"/>
                          <w:bottom w:val="nil"/>
                          <w:right w:val="nil"/>
                          <w:between w:val="nil"/>
                        </w:pBdr>
                        <w:spacing w:before="153" w:line="276" w:lineRule="auto"/>
                        <w:ind w:right="494"/>
                        <w:rPr>
                          <w:b/>
                          <w:color w:val="000000"/>
                          <w:sz w:val="20"/>
                          <w:szCs w:val="20"/>
                        </w:rPr>
                      </w:pPr>
                      <w:r w:rsidRPr="00D36093">
                        <w:rPr>
                          <w:b/>
                          <w:i/>
                          <w:color w:val="000000"/>
                          <w:sz w:val="20"/>
                          <w:szCs w:val="20"/>
                          <w:u w:val="single"/>
                        </w:rPr>
                        <w:t>United States v. Nixon</w:t>
                      </w:r>
                      <w:r w:rsidRPr="00D36093">
                        <w:rPr>
                          <w:b/>
                          <w:i/>
                          <w:color w:val="000000"/>
                          <w:sz w:val="20"/>
                          <w:szCs w:val="20"/>
                        </w:rPr>
                        <w:t xml:space="preserve"> </w:t>
                      </w:r>
                      <w:r w:rsidRPr="00D36093">
                        <w:rPr>
                          <w:color w:val="000000"/>
                          <w:sz w:val="20"/>
                          <w:szCs w:val="20"/>
                        </w:rPr>
                        <w:t xml:space="preserve">- U.S. Supreme Court case that limited executive </w:t>
                      </w:r>
                      <w:proofErr w:type="gramStart"/>
                      <w:r w:rsidRPr="00D36093">
                        <w:rPr>
                          <w:color w:val="000000"/>
                          <w:sz w:val="20"/>
                          <w:szCs w:val="20"/>
                        </w:rPr>
                        <w:t>privilege</w:t>
                      </w:r>
                      <w:proofErr w:type="gramEnd"/>
                    </w:p>
                    <w:p w14:paraId="245D3D44" w14:textId="77777777" w:rsidR="00D36093" w:rsidRPr="00D36093" w:rsidRDefault="00D36093" w:rsidP="00D36093">
                      <w:pPr>
                        <w:spacing w:line="276" w:lineRule="auto"/>
                        <w:textDirection w:val="btLr"/>
                        <w:rPr>
                          <w:sz w:val="24"/>
                          <w:szCs w:val="24"/>
                        </w:rPr>
                      </w:pPr>
                    </w:p>
                  </w:txbxContent>
                </v:textbox>
              </v:rect>
            </w:pict>
          </mc:Fallback>
        </mc:AlternateContent>
      </w:r>
    </w:p>
    <w:sectPr w:rsidR="00D36093"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D79F" w14:textId="77777777" w:rsidR="0068458E" w:rsidRDefault="0068458E" w:rsidP="00425560">
      <w:r>
        <w:separator/>
      </w:r>
    </w:p>
  </w:endnote>
  <w:endnote w:type="continuationSeparator" w:id="0">
    <w:p w14:paraId="3ECF7192" w14:textId="77777777" w:rsidR="0068458E" w:rsidRDefault="0068458E"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3977" w14:textId="77777777" w:rsidR="0068458E" w:rsidRDefault="0068458E" w:rsidP="00425560">
      <w:r>
        <w:separator/>
      </w:r>
    </w:p>
  </w:footnote>
  <w:footnote w:type="continuationSeparator" w:id="0">
    <w:p w14:paraId="45EE7078" w14:textId="77777777" w:rsidR="0068458E" w:rsidRDefault="0068458E"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55F"/>
    <w:multiLevelType w:val="multilevel"/>
    <w:tmpl w:val="AC5E3E5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5CB790A"/>
    <w:multiLevelType w:val="multilevel"/>
    <w:tmpl w:val="A48CFC2E"/>
    <w:lvl w:ilvl="0">
      <w:numFmt w:val="bullet"/>
      <w:lvlText w:val="o"/>
      <w:lvlJc w:val="left"/>
      <w:pPr>
        <w:ind w:left="1250" w:hanging="360"/>
      </w:pPr>
      <w:rPr>
        <w:rFonts w:ascii="Courier New" w:eastAsia="Courier New" w:hAnsi="Courier New" w:cs="Courier New"/>
        <w:b w:val="0"/>
        <w:i w:val="0"/>
        <w:sz w:val="24"/>
        <w:szCs w:val="24"/>
      </w:rPr>
    </w:lvl>
    <w:lvl w:ilvl="1">
      <w:numFmt w:val="bullet"/>
      <w:lvlText w:val="•"/>
      <w:lvlJc w:val="left"/>
      <w:pPr>
        <w:ind w:left="2148" w:hanging="360"/>
      </w:pPr>
    </w:lvl>
    <w:lvl w:ilvl="2">
      <w:numFmt w:val="bullet"/>
      <w:lvlText w:val="•"/>
      <w:lvlJc w:val="left"/>
      <w:pPr>
        <w:ind w:left="3036" w:hanging="360"/>
      </w:pPr>
    </w:lvl>
    <w:lvl w:ilvl="3">
      <w:numFmt w:val="bullet"/>
      <w:lvlText w:val="•"/>
      <w:lvlJc w:val="left"/>
      <w:pPr>
        <w:ind w:left="3924" w:hanging="360"/>
      </w:pPr>
    </w:lvl>
    <w:lvl w:ilvl="4">
      <w:numFmt w:val="bullet"/>
      <w:lvlText w:val="•"/>
      <w:lvlJc w:val="left"/>
      <w:pPr>
        <w:ind w:left="4812" w:hanging="360"/>
      </w:pPr>
    </w:lvl>
    <w:lvl w:ilvl="5">
      <w:numFmt w:val="bullet"/>
      <w:lvlText w:val="•"/>
      <w:lvlJc w:val="left"/>
      <w:pPr>
        <w:ind w:left="5700" w:hanging="360"/>
      </w:pPr>
    </w:lvl>
    <w:lvl w:ilvl="6">
      <w:numFmt w:val="bullet"/>
      <w:lvlText w:val="•"/>
      <w:lvlJc w:val="left"/>
      <w:pPr>
        <w:ind w:left="6588" w:hanging="360"/>
      </w:pPr>
    </w:lvl>
    <w:lvl w:ilvl="7">
      <w:numFmt w:val="bullet"/>
      <w:lvlText w:val="•"/>
      <w:lvlJc w:val="left"/>
      <w:pPr>
        <w:ind w:left="7476" w:hanging="360"/>
      </w:pPr>
    </w:lvl>
    <w:lvl w:ilvl="8">
      <w:numFmt w:val="bullet"/>
      <w:lvlText w:val="•"/>
      <w:lvlJc w:val="left"/>
      <w:pPr>
        <w:ind w:left="8364" w:hanging="360"/>
      </w:pPr>
    </w:lvl>
  </w:abstractNum>
  <w:abstractNum w:abstractNumId="8"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9"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1" w15:restartNumberingAfterBreak="0">
    <w:nsid w:val="59596341"/>
    <w:multiLevelType w:val="multilevel"/>
    <w:tmpl w:val="EADA4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CD1235"/>
    <w:multiLevelType w:val="multilevel"/>
    <w:tmpl w:val="82825C8C"/>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08" w:hanging="360"/>
      </w:pPr>
    </w:lvl>
    <w:lvl w:ilvl="2">
      <w:numFmt w:val="bullet"/>
      <w:lvlText w:val="•"/>
      <w:lvlJc w:val="left"/>
      <w:pPr>
        <w:ind w:left="3216" w:hanging="360"/>
      </w:pPr>
    </w:lvl>
    <w:lvl w:ilvl="3">
      <w:numFmt w:val="bullet"/>
      <w:lvlText w:val="•"/>
      <w:lvlJc w:val="left"/>
      <w:pPr>
        <w:ind w:left="4124" w:hanging="360"/>
      </w:pPr>
    </w:lvl>
    <w:lvl w:ilvl="4">
      <w:numFmt w:val="bullet"/>
      <w:lvlText w:val="•"/>
      <w:lvlJc w:val="left"/>
      <w:pPr>
        <w:ind w:left="5032" w:hanging="360"/>
      </w:pPr>
    </w:lvl>
    <w:lvl w:ilvl="5">
      <w:numFmt w:val="bullet"/>
      <w:lvlText w:val="•"/>
      <w:lvlJc w:val="left"/>
      <w:pPr>
        <w:ind w:left="5940" w:hanging="360"/>
      </w:pPr>
    </w:lvl>
    <w:lvl w:ilvl="6">
      <w:numFmt w:val="bullet"/>
      <w:lvlText w:val="•"/>
      <w:lvlJc w:val="left"/>
      <w:pPr>
        <w:ind w:left="6848" w:hanging="360"/>
      </w:pPr>
    </w:lvl>
    <w:lvl w:ilvl="7">
      <w:numFmt w:val="bullet"/>
      <w:lvlText w:val="•"/>
      <w:lvlJc w:val="left"/>
      <w:pPr>
        <w:ind w:left="7756" w:hanging="360"/>
      </w:pPr>
    </w:lvl>
    <w:lvl w:ilvl="8">
      <w:numFmt w:val="bullet"/>
      <w:lvlText w:val="•"/>
      <w:lvlJc w:val="left"/>
      <w:pPr>
        <w:ind w:left="8664" w:hanging="360"/>
      </w:pPr>
    </w:lvl>
  </w:abstractNum>
  <w:abstractNum w:abstractNumId="15"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7" w15:restartNumberingAfterBreak="0">
    <w:nsid w:val="6B614053"/>
    <w:multiLevelType w:val="multilevel"/>
    <w:tmpl w:val="DEC82F8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47D2970"/>
    <w:multiLevelType w:val="multilevel"/>
    <w:tmpl w:val="CFBC136E"/>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44" w:hanging="360"/>
      </w:pPr>
    </w:lvl>
    <w:lvl w:ilvl="2">
      <w:numFmt w:val="bullet"/>
      <w:lvlText w:val="•"/>
      <w:lvlJc w:val="left"/>
      <w:pPr>
        <w:ind w:left="3288" w:hanging="360"/>
      </w:pPr>
    </w:lvl>
    <w:lvl w:ilvl="3">
      <w:numFmt w:val="bullet"/>
      <w:lvlText w:val="•"/>
      <w:lvlJc w:val="left"/>
      <w:pPr>
        <w:ind w:left="4232" w:hanging="360"/>
      </w:pPr>
    </w:lvl>
    <w:lvl w:ilvl="4">
      <w:numFmt w:val="bullet"/>
      <w:lvlText w:val="•"/>
      <w:lvlJc w:val="left"/>
      <w:pPr>
        <w:ind w:left="5176" w:hanging="360"/>
      </w:pPr>
    </w:lvl>
    <w:lvl w:ilvl="5">
      <w:numFmt w:val="bullet"/>
      <w:lvlText w:val="•"/>
      <w:lvlJc w:val="left"/>
      <w:pPr>
        <w:ind w:left="6120" w:hanging="360"/>
      </w:pPr>
    </w:lvl>
    <w:lvl w:ilvl="6">
      <w:numFmt w:val="bullet"/>
      <w:lvlText w:val="•"/>
      <w:lvlJc w:val="left"/>
      <w:pPr>
        <w:ind w:left="7064" w:hanging="360"/>
      </w:pPr>
    </w:lvl>
    <w:lvl w:ilvl="7">
      <w:numFmt w:val="bullet"/>
      <w:lvlText w:val="•"/>
      <w:lvlJc w:val="left"/>
      <w:pPr>
        <w:ind w:left="8008" w:hanging="360"/>
      </w:pPr>
    </w:lvl>
    <w:lvl w:ilvl="8">
      <w:numFmt w:val="bullet"/>
      <w:lvlText w:val="•"/>
      <w:lvlJc w:val="left"/>
      <w:pPr>
        <w:ind w:left="8952" w:hanging="360"/>
      </w:pPr>
    </w:lvl>
  </w:abstractNum>
  <w:abstractNum w:abstractNumId="19"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9"/>
  </w:num>
  <w:num w:numId="2" w16cid:durableId="856188501">
    <w:abstractNumId w:val="12"/>
  </w:num>
  <w:num w:numId="3" w16cid:durableId="705562427">
    <w:abstractNumId w:val="19"/>
  </w:num>
  <w:num w:numId="4" w16cid:durableId="431122126">
    <w:abstractNumId w:val="16"/>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5"/>
  </w:num>
  <w:num w:numId="13" w16cid:durableId="187107005">
    <w:abstractNumId w:val="8"/>
  </w:num>
  <w:num w:numId="14" w16cid:durableId="1831368088">
    <w:abstractNumId w:val="10"/>
  </w:num>
  <w:num w:numId="15" w16cid:durableId="1558200475">
    <w:abstractNumId w:val="11"/>
  </w:num>
  <w:num w:numId="16" w16cid:durableId="976106258">
    <w:abstractNumId w:val="17"/>
  </w:num>
  <w:num w:numId="17" w16cid:durableId="2067412749">
    <w:abstractNumId w:val="0"/>
  </w:num>
  <w:num w:numId="18" w16cid:durableId="1643806323">
    <w:abstractNumId w:val="7"/>
  </w:num>
  <w:num w:numId="19" w16cid:durableId="189538227">
    <w:abstractNumId w:val="18"/>
  </w:num>
  <w:num w:numId="20" w16cid:durableId="11551424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630FA"/>
    <w:rsid w:val="000946A4"/>
    <w:rsid w:val="000972A2"/>
    <w:rsid w:val="000A473F"/>
    <w:rsid w:val="000A4C80"/>
    <w:rsid w:val="000A7FD8"/>
    <w:rsid w:val="000D1395"/>
    <w:rsid w:val="000F1470"/>
    <w:rsid w:val="00100931"/>
    <w:rsid w:val="00184E6E"/>
    <w:rsid w:val="00187FB4"/>
    <w:rsid w:val="001A43A8"/>
    <w:rsid w:val="001C0549"/>
    <w:rsid w:val="001E5718"/>
    <w:rsid w:val="0021150C"/>
    <w:rsid w:val="002753BE"/>
    <w:rsid w:val="00275570"/>
    <w:rsid w:val="0027720C"/>
    <w:rsid w:val="00283D33"/>
    <w:rsid w:val="002B1A31"/>
    <w:rsid w:val="002D3479"/>
    <w:rsid w:val="00302EBD"/>
    <w:rsid w:val="003148A4"/>
    <w:rsid w:val="003214A6"/>
    <w:rsid w:val="00332901"/>
    <w:rsid w:val="0036304D"/>
    <w:rsid w:val="003A584C"/>
    <w:rsid w:val="00420C47"/>
    <w:rsid w:val="00425560"/>
    <w:rsid w:val="00445AE1"/>
    <w:rsid w:val="004D5AFB"/>
    <w:rsid w:val="004E62EB"/>
    <w:rsid w:val="0059419A"/>
    <w:rsid w:val="005C4ABE"/>
    <w:rsid w:val="005D53C2"/>
    <w:rsid w:val="006371A3"/>
    <w:rsid w:val="00637218"/>
    <w:rsid w:val="0068458E"/>
    <w:rsid w:val="00685C90"/>
    <w:rsid w:val="0069768D"/>
    <w:rsid w:val="006B79BF"/>
    <w:rsid w:val="006C14F9"/>
    <w:rsid w:val="006D0620"/>
    <w:rsid w:val="006E700A"/>
    <w:rsid w:val="006F4896"/>
    <w:rsid w:val="0075450E"/>
    <w:rsid w:val="00791931"/>
    <w:rsid w:val="00802073"/>
    <w:rsid w:val="0087181C"/>
    <w:rsid w:val="008F7E36"/>
    <w:rsid w:val="00992873"/>
    <w:rsid w:val="009A41F6"/>
    <w:rsid w:val="00A04886"/>
    <w:rsid w:val="00A6246E"/>
    <w:rsid w:val="00A91A6D"/>
    <w:rsid w:val="00AD3578"/>
    <w:rsid w:val="00AF56E5"/>
    <w:rsid w:val="00B27EC6"/>
    <w:rsid w:val="00B35852"/>
    <w:rsid w:val="00B42E25"/>
    <w:rsid w:val="00B5210D"/>
    <w:rsid w:val="00B5702A"/>
    <w:rsid w:val="00B660CB"/>
    <w:rsid w:val="00BA185B"/>
    <w:rsid w:val="00BB1C78"/>
    <w:rsid w:val="00BB5DFB"/>
    <w:rsid w:val="00BD0ABA"/>
    <w:rsid w:val="00BE0DE4"/>
    <w:rsid w:val="00C0407B"/>
    <w:rsid w:val="00C117DF"/>
    <w:rsid w:val="00CD2035"/>
    <w:rsid w:val="00D171B0"/>
    <w:rsid w:val="00D36093"/>
    <w:rsid w:val="00D45F75"/>
    <w:rsid w:val="00D65B18"/>
    <w:rsid w:val="00DD1A1A"/>
    <w:rsid w:val="00DF78DC"/>
    <w:rsid w:val="00E061CF"/>
    <w:rsid w:val="00E60BB6"/>
    <w:rsid w:val="00E66F14"/>
    <w:rsid w:val="00E778F7"/>
    <w:rsid w:val="00EA262C"/>
    <w:rsid w:val="00EA75A1"/>
    <w:rsid w:val="00F03A82"/>
    <w:rsid w:val="00F33B7B"/>
    <w:rsid w:val="00F36A09"/>
    <w:rsid w:val="00F524F0"/>
    <w:rsid w:val="00F57893"/>
    <w:rsid w:val="00FA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2023-06-28T21:34:00Z</dcterms:created>
  <dcterms:modified xsi:type="dcterms:W3CDTF">2023-06-28T21:34:00Z</dcterms:modified>
</cp:coreProperties>
</file>