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08230E5B" w:rsidR="005C4ABE" w:rsidRDefault="00E66F14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32689C9C">
            <wp:simplePos x="0" y="0"/>
            <wp:positionH relativeFrom="margin">
              <wp:posOffset>6350</wp:posOffset>
            </wp:positionH>
            <wp:positionV relativeFrom="margin">
              <wp:posOffset>203200</wp:posOffset>
            </wp:positionV>
            <wp:extent cx="772795" cy="789940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5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43EA7B5F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628900" cy="8763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65904A8F" w:rsidR="00425560" w:rsidRPr="006D5C7D" w:rsidRDefault="00E66F14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My Rights and Liberties</w:t>
                            </w:r>
                            <w:r w:rsidR="00BE0DE4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: SS.7.CG.</w:t>
                            </w:r>
                            <w:r w:rsidR="00C0407B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08946024" w14:textId="7C35E192" w:rsidR="00425560" w:rsidRPr="006D5C7D" w:rsidRDefault="00E66F14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Landmark Supreme Court Cases</w:t>
                            </w:r>
                          </w:p>
                          <w:p w14:paraId="3F38EE4A" w14:textId="119739FC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CD2035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D94B5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07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" filled="f" stroked="f">
                <v:textbox>
                  <w:txbxContent>
                    <w:p w14:paraId="25D8C899" w14:textId="65904A8F" w:rsidR="00425560" w:rsidRPr="006D5C7D" w:rsidRDefault="00E66F14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My Rights and Liberties</w:t>
                      </w:r>
                      <w:r w:rsidR="00BE0DE4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: SS.7.CG.</w:t>
                      </w:r>
                      <w:r w:rsidR="00C0407B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11</w:t>
                      </w:r>
                    </w:p>
                    <w:p w14:paraId="08946024" w14:textId="7C35E192" w:rsidR="00425560" w:rsidRPr="006D5C7D" w:rsidRDefault="00E66F14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Landmark Supreme Court Cases</w:t>
                      </w:r>
                    </w:p>
                    <w:p w14:paraId="3F38EE4A" w14:textId="119739FC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CD2035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#</w:t>
                      </w:r>
                      <w:r w:rsidR="00D94B5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4EBC6EDD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27DF8592" w:rsidR="00425560" w:rsidRPr="00425560" w:rsidRDefault="004D5AFB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259AF124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6972300" cy="5461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13DACE27" w:rsidR="000A4C80" w:rsidRPr="00D94B5D" w:rsidRDefault="00D94B5D" w:rsidP="00D94B5D">
                            <w:pPr>
                              <w:spacing w:line="242" w:lineRule="auto"/>
                              <w:ind w:right="329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4B5D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SS.7.CG.3.11 Benchmark Clarification 4</w:t>
                            </w:r>
                            <w:r w:rsidRPr="00D94B5D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94B5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recognize constitutional principles and individual rights in relevant U.S. Supreme Court decisions.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5.45pt;width:549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" filled="f" strokecolor="black [3213]" strokeweight="1pt">
                <v:textbox>
                  <w:txbxContent>
                    <w:p w14:paraId="24A11C5B" w14:textId="13DACE27" w:rsidR="000A4C80" w:rsidRPr="00D94B5D" w:rsidRDefault="00D94B5D" w:rsidP="00D94B5D">
                      <w:pPr>
                        <w:spacing w:line="242" w:lineRule="auto"/>
                        <w:ind w:right="329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94B5D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SS.7.CG.3.11 Benchmark Clarification 4</w:t>
                      </w:r>
                      <w:r w:rsidRPr="00D94B5D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D94B5D">
                        <w:rPr>
                          <w:color w:val="000000" w:themeColor="text1"/>
                          <w:sz w:val="24"/>
                          <w:szCs w:val="24"/>
                        </w:rPr>
                        <w:t>Students will recognize constitutional principles and individual rights in relevant U.S. Supreme Court decisions.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9B4B1B5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E69F5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5FCBC8B4" w:rsidR="00425560" w:rsidRPr="00425560" w:rsidRDefault="00425560" w:rsidP="00425560"/>
    <w:p w14:paraId="6B59C654" w14:textId="3DAD00A9" w:rsidR="00F524F0" w:rsidRDefault="00F524F0" w:rsidP="005D53C2">
      <w:pPr>
        <w:spacing w:before="92" w:line="242" w:lineRule="auto"/>
        <w:ind w:right="96"/>
        <w:rPr>
          <w:color w:val="000000"/>
          <w:sz w:val="20"/>
          <w:szCs w:val="20"/>
        </w:rPr>
      </w:pPr>
    </w:p>
    <w:p w14:paraId="21F46927" w14:textId="77777777" w:rsidR="00B42E25" w:rsidRDefault="00B42E25" w:rsidP="00B42E25">
      <w:pPr>
        <w:pStyle w:val="Heading1"/>
        <w:spacing w:before="134" w:after="2"/>
        <w:ind w:left="0" w:right="494"/>
      </w:pPr>
    </w:p>
    <w:p w14:paraId="057C9C13" w14:textId="77777777" w:rsidR="00D94B5D" w:rsidRDefault="00D94B5D" w:rsidP="00B42E25">
      <w:pPr>
        <w:pStyle w:val="Heading1"/>
        <w:spacing w:before="134" w:after="2"/>
        <w:ind w:left="0" w:right="494"/>
      </w:pPr>
    </w:p>
    <w:tbl>
      <w:tblPr>
        <w:tblW w:w="109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8855"/>
      </w:tblGrid>
      <w:tr w:rsidR="00D94B5D" w14:paraId="185D5845" w14:textId="77777777" w:rsidTr="00D94B5D">
        <w:trPr>
          <w:trHeight w:val="273"/>
        </w:trPr>
        <w:tc>
          <w:tcPr>
            <w:tcW w:w="10980" w:type="dxa"/>
            <w:gridSpan w:val="2"/>
          </w:tcPr>
          <w:p w14:paraId="2D2C5248" w14:textId="77777777" w:rsidR="00D94B5D" w:rsidRDefault="00D94B5D" w:rsidP="00D94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21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Landmark Supreme Court Cases (related to civil liberties)</w:t>
            </w:r>
          </w:p>
        </w:tc>
      </w:tr>
      <w:tr w:rsidR="00D94B5D" w14:paraId="2EA9BEC8" w14:textId="77777777" w:rsidTr="00D94B5D">
        <w:trPr>
          <w:trHeight w:val="277"/>
        </w:trPr>
        <w:tc>
          <w:tcPr>
            <w:tcW w:w="2125" w:type="dxa"/>
          </w:tcPr>
          <w:p w14:paraId="501006D0" w14:textId="77777777" w:rsidR="00D94B5D" w:rsidRDefault="00D94B5D" w:rsidP="00D94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64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Case</w:t>
            </w:r>
          </w:p>
        </w:tc>
        <w:tc>
          <w:tcPr>
            <w:tcW w:w="8855" w:type="dxa"/>
          </w:tcPr>
          <w:p w14:paraId="11E238CD" w14:textId="77777777" w:rsidR="00D94B5D" w:rsidRDefault="00D94B5D" w:rsidP="00D94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26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Constitutional Rights/Principles</w:t>
            </w:r>
          </w:p>
        </w:tc>
      </w:tr>
      <w:tr w:rsidR="00D94B5D" w14:paraId="6DDB8216" w14:textId="77777777" w:rsidTr="00D94B5D">
        <w:trPr>
          <w:trHeight w:val="2303"/>
        </w:trPr>
        <w:tc>
          <w:tcPr>
            <w:tcW w:w="2125" w:type="dxa"/>
            <w:vAlign w:val="center"/>
          </w:tcPr>
          <w:p w14:paraId="4108BBDF" w14:textId="77777777" w:rsidR="00D94B5D" w:rsidRDefault="00D94B5D" w:rsidP="00E86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Dred Scott v. Sanford</w:t>
            </w:r>
          </w:p>
          <w:p w14:paraId="071C4337" w14:textId="77777777" w:rsid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(1857)</w:t>
            </w:r>
          </w:p>
        </w:tc>
        <w:tc>
          <w:tcPr>
            <w:tcW w:w="8855" w:type="dxa"/>
          </w:tcPr>
          <w:p w14:paraId="624B495B" w14:textId="77777777" w:rsid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This case violated a person’s right to due process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based on the concept of citizenship, which would later become protected by the 13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and 14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Amendments. </w:t>
            </w:r>
          </w:p>
          <w:p w14:paraId="7D4A009F" w14:textId="77777777" w:rsid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</w:p>
          <w:p w14:paraId="1B06C86D" w14:textId="77777777" w:rsid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Amendment – abolished slavery</w:t>
            </w:r>
          </w:p>
          <w:p w14:paraId="6E43D064" w14:textId="77777777" w:rsidR="00D94B5D" w:rsidRDefault="00D94B5D" w:rsidP="00D94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A9E8184" w14:textId="77777777" w:rsid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Amendment – qualifications for natural born and/or naturalized citizenship, right to due process, and equal protection of the law.</w:t>
            </w:r>
          </w:p>
        </w:tc>
      </w:tr>
      <w:tr w:rsidR="00D94B5D" w14:paraId="0B0F83AB" w14:textId="77777777" w:rsidTr="00D94B5D">
        <w:trPr>
          <w:trHeight w:val="980"/>
        </w:trPr>
        <w:tc>
          <w:tcPr>
            <w:tcW w:w="2125" w:type="dxa"/>
            <w:vAlign w:val="center"/>
          </w:tcPr>
          <w:p w14:paraId="191A7DBB" w14:textId="77777777" w:rsidR="00D94B5D" w:rsidRDefault="00D94B5D" w:rsidP="00E86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Plessy v. Ferguson</w:t>
            </w:r>
          </w:p>
          <w:p w14:paraId="28562C74" w14:textId="77777777" w:rsid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(1896)</w:t>
            </w:r>
          </w:p>
        </w:tc>
        <w:tc>
          <w:tcPr>
            <w:tcW w:w="8855" w:type="dxa"/>
          </w:tcPr>
          <w:p w14:paraId="0CF4167D" w14:textId="77777777" w:rsid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This case dealt with a state violating a person’s right to due process and equal protection of laws based on race, </w:t>
            </w:r>
            <w:r>
              <w:rPr>
                <w:sz w:val="24"/>
                <w:szCs w:val="24"/>
              </w:rPr>
              <w:t xml:space="preserve">based on the 14th Amendment.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94B5D" w14:paraId="119E2912" w14:textId="77777777" w:rsidTr="00D94B5D">
        <w:trPr>
          <w:trHeight w:val="989"/>
        </w:trPr>
        <w:tc>
          <w:tcPr>
            <w:tcW w:w="2125" w:type="dxa"/>
            <w:vAlign w:val="center"/>
          </w:tcPr>
          <w:p w14:paraId="6D3AEAD2" w14:textId="77777777" w:rsidR="00D94B5D" w:rsidRDefault="00D94B5D" w:rsidP="00E86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Brown v. Board of Education</w:t>
            </w:r>
          </w:p>
          <w:p w14:paraId="084F60DF" w14:textId="77777777" w:rsid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(1954)</w:t>
            </w:r>
          </w:p>
        </w:tc>
        <w:tc>
          <w:tcPr>
            <w:tcW w:w="8855" w:type="dxa"/>
          </w:tcPr>
          <w:p w14:paraId="6843F1BF" w14:textId="77777777" w:rsid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This case dealt with </w:t>
            </w:r>
            <w:r>
              <w:rPr>
                <w:sz w:val="24"/>
                <w:szCs w:val="24"/>
              </w:rPr>
              <w:t xml:space="preserve">black </w:t>
            </w:r>
            <w:r>
              <w:rPr>
                <w:color w:val="000000"/>
                <w:sz w:val="24"/>
                <w:szCs w:val="24"/>
              </w:rPr>
              <w:t>children not receiving equal accommodations in public education, which was interpreted to be a violation of the 14th Amendment equal protection clause.</w:t>
            </w:r>
          </w:p>
        </w:tc>
      </w:tr>
      <w:tr w:rsidR="00D94B5D" w14:paraId="4E4E8F47" w14:textId="77777777" w:rsidTr="00D94B5D">
        <w:trPr>
          <w:trHeight w:val="2620"/>
        </w:trPr>
        <w:tc>
          <w:tcPr>
            <w:tcW w:w="2125" w:type="dxa"/>
          </w:tcPr>
          <w:p w14:paraId="7B9A549A" w14:textId="77777777" w:rsid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Gideon v. Wainwright </w:t>
            </w:r>
            <w:r>
              <w:rPr>
                <w:b/>
                <w:color w:val="000000"/>
                <w:sz w:val="24"/>
                <w:szCs w:val="24"/>
              </w:rPr>
              <w:t>(1963)</w:t>
            </w:r>
          </w:p>
        </w:tc>
        <w:tc>
          <w:tcPr>
            <w:tcW w:w="8855" w:type="dxa"/>
          </w:tcPr>
          <w:p w14:paraId="6AAC9992" w14:textId="77777777" w:rsid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This case dealt with the </w:t>
            </w:r>
            <w:r>
              <w:rPr>
                <w:b/>
                <w:color w:val="000000"/>
                <w:sz w:val="24"/>
                <w:szCs w:val="24"/>
              </w:rPr>
              <w:t xml:space="preserve">rights of the accused, </w:t>
            </w:r>
            <w:r>
              <w:rPr>
                <w:color w:val="000000"/>
                <w:sz w:val="24"/>
                <w:szCs w:val="24"/>
              </w:rPr>
              <w:t>which are protected by the 4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and 6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Amendments.</w:t>
            </w:r>
          </w:p>
          <w:p w14:paraId="7A8C5904" w14:textId="77777777" w:rsid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Amendment – no unreasonable searches and seizures</w:t>
            </w:r>
          </w:p>
          <w:p w14:paraId="753FECA1" w14:textId="77777777" w:rsid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Amendment – protection from double jeopardy, the right to due process, protection from </w:t>
            </w:r>
            <w:r>
              <w:rPr>
                <w:b/>
                <w:color w:val="000000"/>
                <w:sz w:val="24"/>
                <w:szCs w:val="24"/>
              </w:rPr>
              <w:t>self-incrimination</w:t>
            </w:r>
          </w:p>
          <w:p w14:paraId="4E23CBCE" w14:textId="32C6EC94" w:rsidR="00D94B5D" w:rsidRDefault="00D94B5D" w:rsidP="00D94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Amendment – the right to an attorney, the right to a speedy and public trial, the right to be informed of criminal charges, the right to question witnesses of the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crime in court</w:t>
            </w:r>
          </w:p>
        </w:tc>
      </w:tr>
      <w:tr w:rsidR="00D94B5D" w14:paraId="79B269D9" w14:textId="77777777" w:rsidTr="00D94B5D">
        <w:trPr>
          <w:trHeight w:val="683"/>
        </w:trPr>
        <w:tc>
          <w:tcPr>
            <w:tcW w:w="2125" w:type="dxa"/>
          </w:tcPr>
          <w:p w14:paraId="36DB70C8" w14:textId="77777777" w:rsidR="00D94B5D" w:rsidRDefault="00D94B5D" w:rsidP="00E86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re Gault (1967)</w:t>
            </w:r>
          </w:p>
        </w:tc>
        <w:tc>
          <w:tcPr>
            <w:tcW w:w="8855" w:type="dxa"/>
          </w:tcPr>
          <w:p w14:paraId="1B828844" w14:textId="77777777" w:rsid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This case dealt with juveniles having the same due process protections as adults in criminal cases, which are protected by the 14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Amendment. </w:t>
            </w:r>
          </w:p>
        </w:tc>
      </w:tr>
      <w:tr w:rsidR="00D94B5D" w14:paraId="6518285F" w14:textId="77777777" w:rsidTr="00D94B5D">
        <w:trPr>
          <w:trHeight w:val="969"/>
        </w:trPr>
        <w:tc>
          <w:tcPr>
            <w:tcW w:w="2125" w:type="dxa"/>
          </w:tcPr>
          <w:p w14:paraId="4C939F2B" w14:textId="77777777" w:rsid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Miranda v. Arizona </w:t>
            </w:r>
            <w:r>
              <w:rPr>
                <w:b/>
                <w:color w:val="000000"/>
                <w:sz w:val="24"/>
                <w:szCs w:val="24"/>
              </w:rPr>
              <w:t>(1966)</w:t>
            </w:r>
          </w:p>
        </w:tc>
        <w:tc>
          <w:tcPr>
            <w:tcW w:w="8855" w:type="dxa"/>
          </w:tcPr>
          <w:p w14:paraId="564E1FB1" w14:textId="77777777" w:rsid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This case dealt with the rights of the accused, which are protected by the 4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and 6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Amendments.</w:t>
            </w:r>
          </w:p>
          <w:p w14:paraId="0E22B8CC" w14:textId="77777777" w:rsid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Amendment – the right to due process and protection from self-incrimination</w:t>
            </w:r>
          </w:p>
        </w:tc>
      </w:tr>
      <w:tr w:rsidR="00D94B5D" w14:paraId="04298D4B" w14:textId="77777777" w:rsidTr="00D94B5D">
        <w:trPr>
          <w:trHeight w:val="830"/>
        </w:trPr>
        <w:tc>
          <w:tcPr>
            <w:tcW w:w="2125" w:type="dxa"/>
          </w:tcPr>
          <w:p w14:paraId="6C521CCD" w14:textId="18F974B9" w:rsidR="00D94B5D" w:rsidRP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United States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v. Nixon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(1974)</w:t>
            </w:r>
          </w:p>
        </w:tc>
        <w:tc>
          <w:tcPr>
            <w:tcW w:w="8855" w:type="dxa"/>
          </w:tcPr>
          <w:p w14:paraId="2527D52B" w14:textId="77777777" w:rsid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 w:right="2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</w:t>
            </w:r>
            <w:r>
              <w:rPr>
                <w:b/>
                <w:color w:val="000000"/>
                <w:sz w:val="24"/>
                <w:szCs w:val="24"/>
              </w:rPr>
              <w:t xml:space="preserve">judicial opinion </w:t>
            </w:r>
            <w:r>
              <w:rPr>
                <w:color w:val="000000"/>
                <w:sz w:val="24"/>
                <w:szCs w:val="24"/>
              </w:rPr>
              <w:t>in this case discussed the idea of constitutio</w:t>
            </w:r>
            <w:r>
              <w:rPr>
                <w:sz w:val="24"/>
                <w:szCs w:val="24"/>
              </w:rPr>
              <w:t xml:space="preserve">nal </w:t>
            </w:r>
            <w:r>
              <w:rPr>
                <w:color w:val="000000"/>
                <w:sz w:val="24"/>
                <w:szCs w:val="24"/>
              </w:rPr>
              <w:t>equality, which means that everyone is equal in the eyes of the law.</w:t>
            </w:r>
          </w:p>
        </w:tc>
      </w:tr>
      <w:tr w:rsidR="00D94B5D" w14:paraId="5F1F9B88" w14:textId="77777777" w:rsidTr="00D94B5D">
        <w:trPr>
          <w:trHeight w:val="1377"/>
        </w:trPr>
        <w:tc>
          <w:tcPr>
            <w:tcW w:w="2125" w:type="dxa"/>
          </w:tcPr>
          <w:p w14:paraId="491E3257" w14:textId="77777777" w:rsid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Hazelwood School District v. Kuhlmeier</w:t>
            </w:r>
          </w:p>
          <w:p w14:paraId="267E0102" w14:textId="77777777" w:rsid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(1987)</w:t>
            </w:r>
          </w:p>
        </w:tc>
        <w:tc>
          <w:tcPr>
            <w:tcW w:w="8855" w:type="dxa"/>
          </w:tcPr>
          <w:p w14:paraId="4AF9758E" w14:textId="049800A5" w:rsidR="00D94B5D" w:rsidRDefault="00D94B5D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5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This case dealt with the 1</w:t>
            </w:r>
            <w:r>
              <w:rPr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color w:val="000000"/>
                <w:sz w:val="24"/>
                <w:szCs w:val="24"/>
              </w:rPr>
              <w:t xml:space="preserve"> Amendment rights of students in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including, the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color w:val="000000"/>
                <w:sz w:val="24"/>
                <w:szCs w:val="24"/>
              </w:rPr>
              <w:t xml:space="preserve"> Amendment – freedom of speech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color w:val="000000"/>
                <w:sz w:val="24"/>
                <w:szCs w:val="24"/>
              </w:rPr>
              <w:t xml:space="preserve">freedom of the press. </w:t>
            </w:r>
          </w:p>
        </w:tc>
      </w:tr>
    </w:tbl>
    <w:p w14:paraId="24C1782E" w14:textId="77777777" w:rsidR="00D94B5D" w:rsidRDefault="00D94B5D" w:rsidP="00B42E25">
      <w:pPr>
        <w:pStyle w:val="Heading1"/>
        <w:spacing w:before="134" w:after="2"/>
        <w:ind w:left="0" w:right="494"/>
      </w:pPr>
    </w:p>
    <w:p w14:paraId="3C7E8E27" w14:textId="193D71F8" w:rsidR="00D94B5D" w:rsidRDefault="00D94B5D" w:rsidP="00B42E25">
      <w:pPr>
        <w:pStyle w:val="Heading1"/>
        <w:spacing w:before="134" w:after="2"/>
        <w:ind w:left="0" w:right="494"/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hidden="0" allowOverlap="1" wp14:anchorId="6549EB2B" wp14:editId="17708661">
                <wp:simplePos x="0" y="0"/>
                <wp:positionH relativeFrom="column">
                  <wp:posOffset>-76200</wp:posOffset>
                </wp:positionH>
                <wp:positionV relativeFrom="paragraph">
                  <wp:posOffset>4172585</wp:posOffset>
                </wp:positionV>
                <wp:extent cx="6849744" cy="3400425"/>
                <wp:effectExtent l="0" t="0" r="8890" b="15875"/>
                <wp:wrapNone/>
                <wp:docPr id="2099556683" name="Rectangle 2099556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744" cy="34004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6AF4F3" w14:textId="13EE5F7F" w:rsidR="00D94B5D" w:rsidRPr="00D94B5D" w:rsidRDefault="00D94B5D" w:rsidP="00D94B5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" w:line="276" w:lineRule="auto"/>
                              <w:ind w:right="4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4B5D">
                              <w:rPr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Brown v. Board of Education</w:t>
                            </w:r>
                            <w:r w:rsidRPr="00D94B5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- U.S. Supreme Court case that determined that “separate but equal” segregation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4B5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was not equal in public </w:t>
                            </w:r>
                            <w:proofErr w:type="gramStart"/>
                            <w:r w:rsidRPr="00D94B5D">
                              <w:rPr>
                                <w:color w:val="000000"/>
                                <w:sz w:val="20"/>
                                <w:szCs w:val="20"/>
                              </w:rPr>
                              <w:t>education</w:t>
                            </w:r>
                            <w:proofErr w:type="gramEnd"/>
                          </w:p>
                          <w:p w14:paraId="4843EF89" w14:textId="77777777" w:rsidR="00D94B5D" w:rsidRPr="00D94B5D" w:rsidRDefault="00D94B5D" w:rsidP="00D94B5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33" w:line="276" w:lineRule="auto"/>
                              <w:ind w:right="4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4B5D">
                              <w:rPr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Dred Scott v. Sanford</w:t>
                            </w:r>
                            <w:r w:rsidRPr="00D94B5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– U.S. Supreme Court case that upheld the constitutionality of racial segregation under the “separate but equal” </w:t>
                            </w:r>
                            <w:proofErr w:type="gramStart"/>
                            <w:r w:rsidRPr="00D94B5D">
                              <w:rPr>
                                <w:color w:val="000000"/>
                                <w:sz w:val="20"/>
                                <w:szCs w:val="20"/>
                              </w:rPr>
                              <w:t>doctrine</w:t>
                            </w:r>
                            <w:proofErr w:type="gramEnd"/>
                          </w:p>
                          <w:p w14:paraId="71492BC4" w14:textId="77777777" w:rsidR="00D94B5D" w:rsidRPr="00D94B5D" w:rsidRDefault="00D94B5D" w:rsidP="00D94B5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48" w:line="276" w:lineRule="auto"/>
                              <w:ind w:right="4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4B5D">
                              <w:rPr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Gideon v. Wainwright</w:t>
                            </w:r>
                            <w:r w:rsidRPr="00D94B5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4B5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U.S. Supreme Court case that upheld the Sixth Amendment right that all defendants must be appointed a lawyer if they cannot afford their own </w:t>
                            </w:r>
                            <w:proofErr w:type="gramStart"/>
                            <w:r w:rsidRPr="00D94B5D">
                              <w:rPr>
                                <w:color w:val="000000"/>
                                <w:sz w:val="20"/>
                                <w:szCs w:val="20"/>
                              </w:rPr>
                              <w:t>attorney</w:t>
                            </w:r>
                            <w:proofErr w:type="gramEnd"/>
                          </w:p>
                          <w:p w14:paraId="1F20E59B" w14:textId="77777777" w:rsidR="00D94B5D" w:rsidRPr="00D94B5D" w:rsidRDefault="00D94B5D" w:rsidP="00D94B5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33" w:line="276" w:lineRule="auto"/>
                              <w:ind w:right="4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4B5D">
                              <w:rPr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Hazelwood v. Kuhlmeier</w:t>
                            </w:r>
                            <w:r w:rsidRPr="00D94B5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4B5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U.S. Supreme Court case that determined that the First Amendment does not protect all types of student speech in </w:t>
                            </w:r>
                            <w:proofErr w:type="gramStart"/>
                            <w:r w:rsidRPr="00D94B5D">
                              <w:rPr>
                                <w:color w:val="000000"/>
                                <w:sz w:val="20"/>
                                <w:szCs w:val="20"/>
                              </w:rPr>
                              <w:t>school</w:t>
                            </w:r>
                            <w:proofErr w:type="gramEnd"/>
                          </w:p>
                          <w:p w14:paraId="4C153842" w14:textId="77777777" w:rsidR="00D94B5D" w:rsidRPr="00D94B5D" w:rsidRDefault="00D94B5D" w:rsidP="00D94B5D">
                            <w:pPr>
                              <w:spacing w:before="146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94B5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 re’ Gault</w:t>
                            </w:r>
                            <w:r w:rsidRPr="00D94B5D">
                              <w:rPr>
                                <w:sz w:val="20"/>
                                <w:szCs w:val="20"/>
                              </w:rPr>
                              <w:t xml:space="preserve"> - U.S. Supreme Court case that determined that juvenile court must follow the Fourteenth Amendment</w:t>
                            </w:r>
                          </w:p>
                          <w:p w14:paraId="651C2AB8" w14:textId="77777777" w:rsidR="00D94B5D" w:rsidRPr="00D94B5D" w:rsidRDefault="00D94B5D" w:rsidP="00D94B5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48" w:line="276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4B5D">
                              <w:rPr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Marbury v. Madison</w:t>
                            </w:r>
                            <w:r w:rsidRPr="00D94B5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- U.S. Supreme Court case that established judicial </w:t>
                            </w:r>
                            <w:proofErr w:type="gramStart"/>
                            <w:r w:rsidRPr="00D94B5D">
                              <w:rPr>
                                <w:color w:val="000000"/>
                                <w:sz w:val="20"/>
                                <w:szCs w:val="20"/>
                              </w:rPr>
                              <w:t>review</w:t>
                            </w:r>
                            <w:proofErr w:type="gramEnd"/>
                          </w:p>
                          <w:p w14:paraId="049FC085" w14:textId="77777777" w:rsidR="00D94B5D" w:rsidRPr="00D94B5D" w:rsidRDefault="00D94B5D" w:rsidP="00D94B5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48" w:line="276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4B5D">
                              <w:rPr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Miranda v. Arizona</w:t>
                            </w:r>
                            <w:r w:rsidRPr="00D94B5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4B5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U.S. Supreme Court case that upheld the Fifth Amendment protection from </w:t>
                            </w:r>
                            <w:proofErr w:type="gramStart"/>
                            <w:r w:rsidRPr="00D94B5D">
                              <w:rPr>
                                <w:color w:val="000000"/>
                                <w:sz w:val="20"/>
                                <w:szCs w:val="20"/>
                              </w:rPr>
                              <w:t>self-incrimination</w:t>
                            </w:r>
                            <w:proofErr w:type="gramEnd"/>
                          </w:p>
                          <w:p w14:paraId="7FA96277" w14:textId="77777777" w:rsidR="00D94B5D" w:rsidRPr="00D94B5D" w:rsidRDefault="00D94B5D" w:rsidP="00D94B5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53" w:line="276" w:lineRule="auto"/>
                              <w:ind w:right="494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4B5D">
                              <w:rPr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Plessy v. Ferguson</w:t>
                            </w:r>
                            <w:r w:rsidRPr="00D94B5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D94B5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U.S. Supreme Court case that determined that “separate but equal” segregation was not </w:t>
                            </w:r>
                            <w:proofErr w:type="gramStart"/>
                            <w:r w:rsidRPr="00D94B5D">
                              <w:rPr>
                                <w:color w:val="000000"/>
                                <w:sz w:val="20"/>
                                <w:szCs w:val="20"/>
                              </w:rPr>
                              <w:t>discrimination</w:t>
                            </w:r>
                            <w:proofErr w:type="gramEnd"/>
                          </w:p>
                          <w:p w14:paraId="20335942" w14:textId="77777777" w:rsidR="00D94B5D" w:rsidRPr="00D94B5D" w:rsidRDefault="00D94B5D" w:rsidP="00D94B5D">
                            <w:pPr>
                              <w:spacing w:before="133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94B5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United States v. Nixon</w:t>
                            </w:r>
                            <w:r w:rsidRPr="00D94B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4B5D">
                              <w:rPr>
                                <w:sz w:val="20"/>
                                <w:szCs w:val="20"/>
                              </w:rPr>
                              <w:t xml:space="preserve">- U.S. Supreme Court case that limited executive </w:t>
                            </w:r>
                            <w:proofErr w:type="gramStart"/>
                            <w:r w:rsidRPr="00D94B5D">
                              <w:rPr>
                                <w:sz w:val="20"/>
                                <w:szCs w:val="20"/>
                              </w:rPr>
                              <w:t>privilege</w:t>
                            </w:r>
                            <w:proofErr w:type="gramEnd"/>
                          </w:p>
                          <w:p w14:paraId="5E2053D8" w14:textId="77777777" w:rsidR="00D94B5D" w:rsidRPr="00D94B5D" w:rsidRDefault="00D94B5D" w:rsidP="00D94B5D">
                            <w:pPr>
                              <w:spacing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9EB2B" id="Rectangle 2099556683" o:spid="_x0000_s1029" style="position:absolute;margin-left:-6pt;margin-top:328.55pt;width:539.35pt;height:267.75pt;z-index:-25163980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&#13;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E6AF4F3" w14:textId="13EE5F7F" w:rsidR="00D94B5D" w:rsidRPr="00D94B5D" w:rsidRDefault="00D94B5D" w:rsidP="00D94B5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" w:line="276" w:lineRule="auto"/>
                        <w:ind w:right="494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94B5D">
                        <w:rPr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Brown v. Board of Education</w:t>
                      </w:r>
                      <w:r w:rsidRPr="00D94B5D">
                        <w:rPr>
                          <w:color w:val="000000"/>
                          <w:sz w:val="20"/>
                          <w:szCs w:val="20"/>
                        </w:rPr>
                        <w:t xml:space="preserve"> - U.S. Supreme Court case that determined that “separate but equal” segregation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94B5D">
                        <w:rPr>
                          <w:color w:val="000000"/>
                          <w:sz w:val="20"/>
                          <w:szCs w:val="20"/>
                        </w:rPr>
                        <w:t xml:space="preserve">was not equal in public </w:t>
                      </w:r>
                      <w:proofErr w:type="gramStart"/>
                      <w:r w:rsidRPr="00D94B5D">
                        <w:rPr>
                          <w:color w:val="000000"/>
                          <w:sz w:val="20"/>
                          <w:szCs w:val="20"/>
                        </w:rPr>
                        <w:t>education</w:t>
                      </w:r>
                      <w:proofErr w:type="gramEnd"/>
                    </w:p>
                    <w:p w14:paraId="4843EF89" w14:textId="77777777" w:rsidR="00D94B5D" w:rsidRPr="00D94B5D" w:rsidRDefault="00D94B5D" w:rsidP="00D94B5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33" w:line="276" w:lineRule="auto"/>
                        <w:ind w:right="494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94B5D">
                        <w:rPr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Dred Scott v. Sanford</w:t>
                      </w:r>
                      <w:r w:rsidRPr="00D94B5D">
                        <w:rPr>
                          <w:color w:val="000000"/>
                          <w:sz w:val="20"/>
                          <w:szCs w:val="20"/>
                        </w:rPr>
                        <w:t xml:space="preserve"> – U.S. Supreme Court case that upheld the constitutionality of racial segregation under the “separate but equal” </w:t>
                      </w:r>
                      <w:proofErr w:type="gramStart"/>
                      <w:r w:rsidRPr="00D94B5D">
                        <w:rPr>
                          <w:color w:val="000000"/>
                          <w:sz w:val="20"/>
                          <w:szCs w:val="20"/>
                        </w:rPr>
                        <w:t>doctrine</w:t>
                      </w:r>
                      <w:proofErr w:type="gramEnd"/>
                    </w:p>
                    <w:p w14:paraId="71492BC4" w14:textId="77777777" w:rsidR="00D94B5D" w:rsidRPr="00D94B5D" w:rsidRDefault="00D94B5D" w:rsidP="00D94B5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48" w:line="276" w:lineRule="auto"/>
                        <w:ind w:right="494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94B5D">
                        <w:rPr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Gideon v. Wainwright</w:t>
                      </w:r>
                      <w:r w:rsidRPr="00D94B5D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94B5D">
                        <w:rPr>
                          <w:color w:val="000000"/>
                          <w:sz w:val="20"/>
                          <w:szCs w:val="20"/>
                        </w:rPr>
                        <w:t xml:space="preserve">- U.S. Supreme Court case that upheld the Sixth Amendment right that all defendants must be appointed a lawyer if they cannot afford their own </w:t>
                      </w:r>
                      <w:proofErr w:type="gramStart"/>
                      <w:r w:rsidRPr="00D94B5D">
                        <w:rPr>
                          <w:color w:val="000000"/>
                          <w:sz w:val="20"/>
                          <w:szCs w:val="20"/>
                        </w:rPr>
                        <w:t>attorney</w:t>
                      </w:r>
                      <w:proofErr w:type="gramEnd"/>
                    </w:p>
                    <w:p w14:paraId="1F20E59B" w14:textId="77777777" w:rsidR="00D94B5D" w:rsidRPr="00D94B5D" w:rsidRDefault="00D94B5D" w:rsidP="00D94B5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33" w:line="276" w:lineRule="auto"/>
                        <w:ind w:right="494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94B5D">
                        <w:rPr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Hazelwood v. Kuhlmeier</w:t>
                      </w:r>
                      <w:r w:rsidRPr="00D94B5D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94B5D">
                        <w:rPr>
                          <w:color w:val="000000"/>
                          <w:sz w:val="20"/>
                          <w:szCs w:val="20"/>
                        </w:rPr>
                        <w:t xml:space="preserve">- U.S. Supreme Court case that determined that the First Amendment does not protect all types of student speech in </w:t>
                      </w:r>
                      <w:proofErr w:type="gramStart"/>
                      <w:r w:rsidRPr="00D94B5D">
                        <w:rPr>
                          <w:color w:val="000000"/>
                          <w:sz w:val="20"/>
                          <w:szCs w:val="20"/>
                        </w:rPr>
                        <w:t>school</w:t>
                      </w:r>
                      <w:proofErr w:type="gramEnd"/>
                    </w:p>
                    <w:p w14:paraId="4C153842" w14:textId="77777777" w:rsidR="00D94B5D" w:rsidRPr="00D94B5D" w:rsidRDefault="00D94B5D" w:rsidP="00D94B5D">
                      <w:pPr>
                        <w:spacing w:before="146" w:line="276" w:lineRule="auto"/>
                        <w:rPr>
                          <w:sz w:val="20"/>
                          <w:szCs w:val="20"/>
                        </w:rPr>
                      </w:pPr>
                      <w:r w:rsidRPr="00D94B5D">
                        <w:rPr>
                          <w:b/>
                          <w:sz w:val="20"/>
                          <w:szCs w:val="20"/>
                          <w:u w:val="single"/>
                        </w:rPr>
                        <w:t>In re’ Gault</w:t>
                      </w:r>
                      <w:r w:rsidRPr="00D94B5D">
                        <w:rPr>
                          <w:sz w:val="20"/>
                          <w:szCs w:val="20"/>
                        </w:rPr>
                        <w:t xml:space="preserve"> - U.S. Supreme Court case that determined that juvenile court must follow the Fourteenth Amendment</w:t>
                      </w:r>
                    </w:p>
                    <w:p w14:paraId="651C2AB8" w14:textId="77777777" w:rsidR="00D94B5D" w:rsidRPr="00D94B5D" w:rsidRDefault="00D94B5D" w:rsidP="00D94B5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48" w:line="276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94B5D">
                        <w:rPr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Marbury v. Madison</w:t>
                      </w:r>
                      <w:r w:rsidRPr="00D94B5D">
                        <w:rPr>
                          <w:color w:val="000000"/>
                          <w:sz w:val="20"/>
                          <w:szCs w:val="20"/>
                        </w:rPr>
                        <w:t xml:space="preserve"> - U.S. Supreme Court case that established judicial </w:t>
                      </w:r>
                      <w:proofErr w:type="gramStart"/>
                      <w:r w:rsidRPr="00D94B5D">
                        <w:rPr>
                          <w:color w:val="000000"/>
                          <w:sz w:val="20"/>
                          <w:szCs w:val="20"/>
                        </w:rPr>
                        <w:t>review</w:t>
                      </w:r>
                      <w:proofErr w:type="gramEnd"/>
                    </w:p>
                    <w:p w14:paraId="049FC085" w14:textId="77777777" w:rsidR="00D94B5D" w:rsidRPr="00D94B5D" w:rsidRDefault="00D94B5D" w:rsidP="00D94B5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48" w:line="276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94B5D">
                        <w:rPr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Miranda v. Arizona</w:t>
                      </w:r>
                      <w:r w:rsidRPr="00D94B5D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94B5D">
                        <w:rPr>
                          <w:color w:val="000000"/>
                          <w:sz w:val="20"/>
                          <w:szCs w:val="20"/>
                        </w:rPr>
                        <w:t xml:space="preserve">- U.S. Supreme Court case that upheld the Fifth Amendment protection from </w:t>
                      </w:r>
                      <w:proofErr w:type="gramStart"/>
                      <w:r w:rsidRPr="00D94B5D">
                        <w:rPr>
                          <w:color w:val="000000"/>
                          <w:sz w:val="20"/>
                          <w:szCs w:val="20"/>
                        </w:rPr>
                        <w:t>self-incrimination</w:t>
                      </w:r>
                      <w:proofErr w:type="gramEnd"/>
                    </w:p>
                    <w:p w14:paraId="7FA96277" w14:textId="77777777" w:rsidR="00D94B5D" w:rsidRPr="00D94B5D" w:rsidRDefault="00D94B5D" w:rsidP="00D94B5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53" w:line="276" w:lineRule="auto"/>
                        <w:ind w:right="494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94B5D">
                        <w:rPr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Plessy v. Ferguson</w:t>
                      </w:r>
                      <w:r w:rsidRPr="00D94B5D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 w:rsidRPr="00D94B5D">
                        <w:rPr>
                          <w:color w:val="000000"/>
                          <w:sz w:val="20"/>
                          <w:szCs w:val="20"/>
                        </w:rPr>
                        <w:t xml:space="preserve">U.S. Supreme Court case that determined that “separate but equal” segregation was not </w:t>
                      </w:r>
                      <w:proofErr w:type="gramStart"/>
                      <w:r w:rsidRPr="00D94B5D">
                        <w:rPr>
                          <w:color w:val="000000"/>
                          <w:sz w:val="20"/>
                          <w:szCs w:val="20"/>
                        </w:rPr>
                        <w:t>discrimination</w:t>
                      </w:r>
                      <w:proofErr w:type="gramEnd"/>
                    </w:p>
                    <w:p w14:paraId="20335942" w14:textId="77777777" w:rsidR="00D94B5D" w:rsidRPr="00D94B5D" w:rsidRDefault="00D94B5D" w:rsidP="00D94B5D">
                      <w:pPr>
                        <w:spacing w:before="133" w:line="276" w:lineRule="auto"/>
                        <w:rPr>
                          <w:sz w:val="20"/>
                          <w:szCs w:val="20"/>
                        </w:rPr>
                      </w:pPr>
                      <w:r w:rsidRPr="00D94B5D">
                        <w:rPr>
                          <w:b/>
                          <w:sz w:val="20"/>
                          <w:szCs w:val="20"/>
                          <w:u w:val="single"/>
                        </w:rPr>
                        <w:t>United States v. Nixon</w:t>
                      </w:r>
                      <w:r w:rsidRPr="00D94B5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94B5D">
                        <w:rPr>
                          <w:sz w:val="20"/>
                          <w:szCs w:val="20"/>
                        </w:rPr>
                        <w:t xml:space="preserve">- U.S. Supreme Court case that limited executive </w:t>
                      </w:r>
                      <w:proofErr w:type="gramStart"/>
                      <w:r w:rsidRPr="00D94B5D">
                        <w:rPr>
                          <w:sz w:val="20"/>
                          <w:szCs w:val="20"/>
                        </w:rPr>
                        <w:t>privilege</w:t>
                      </w:r>
                      <w:proofErr w:type="gramEnd"/>
                    </w:p>
                    <w:p w14:paraId="5E2053D8" w14:textId="77777777" w:rsidR="00D94B5D" w:rsidRPr="00D94B5D" w:rsidRDefault="00D94B5D" w:rsidP="00D94B5D">
                      <w:pPr>
                        <w:spacing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94B5D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9684" w14:textId="77777777" w:rsidR="00A809CF" w:rsidRDefault="00A809CF" w:rsidP="00425560">
      <w:r>
        <w:separator/>
      </w:r>
    </w:p>
  </w:endnote>
  <w:endnote w:type="continuationSeparator" w:id="0">
    <w:p w14:paraId="70BC70C8" w14:textId="77777777" w:rsidR="00A809CF" w:rsidRDefault="00A809CF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9911" w14:textId="77777777" w:rsidR="00A809CF" w:rsidRDefault="00A809CF" w:rsidP="00425560">
      <w:r>
        <w:separator/>
      </w:r>
    </w:p>
  </w:footnote>
  <w:footnote w:type="continuationSeparator" w:id="0">
    <w:p w14:paraId="5601BA5E" w14:textId="77777777" w:rsidR="00A809CF" w:rsidRDefault="00A809CF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55F"/>
    <w:multiLevelType w:val="multilevel"/>
    <w:tmpl w:val="AC5E3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B790A"/>
    <w:multiLevelType w:val="multilevel"/>
    <w:tmpl w:val="A48CFC2E"/>
    <w:lvl w:ilvl="0">
      <w:numFmt w:val="bullet"/>
      <w:lvlText w:val="o"/>
      <w:lvlJc w:val="left"/>
      <w:pPr>
        <w:ind w:left="1250" w:hanging="360"/>
      </w:pPr>
      <w:rPr>
        <w:rFonts w:ascii="Courier New" w:eastAsia="Courier New" w:hAnsi="Courier New" w:cs="Courier New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4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812" w:hanging="360"/>
      </w:pPr>
    </w:lvl>
    <w:lvl w:ilvl="5">
      <w:numFmt w:val="bullet"/>
      <w:lvlText w:val="•"/>
      <w:lvlJc w:val="left"/>
      <w:pPr>
        <w:ind w:left="5700" w:hanging="360"/>
      </w:pPr>
    </w:lvl>
    <w:lvl w:ilvl="6">
      <w:numFmt w:val="bullet"/>
      <w:lvlText w:val="•"/>
      <w:lvlJc w:val="left"/>
      <w:pPr>
        <w:ind w:left="6588" w:hanging="360"/>
      </w:pPr>
    </w:lvl>
    <w:lvl w:ilvl="7">
      <w:numFmt w:val="bullet"/>
      <w:lvlText w:val="•"/>
      <w:lvlJc w:val="left"/>
      <w:pPr>
        <w:ind w:left="7476" w:hanging="360"/>
      </w:pPr>
    </w:lvl>
    <w:lvl w:ilvl="8">
      <w:numFmt w:val="bullet"/>
      <w:lvlText w:val="•"/>
      <w:lvlJc w:val="left"/>
      <w:pPr>
        <w:ind w:left="8364" w:hanging="360"/>
      </w:pPr>
    </w:lvl>
  </w:abstractNum>
  <w:abstractNum w:abstractNumId="8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9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0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1" w15:restartNumberingAfterBreak="0">
    <w:nsid w:val="59596341"/>
    <w:multiLevelType w:val="multilevel"/>
    <w:tmpl w:val="EADA4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3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CD1235"/>
    <w:multiLevelType w:val="multilevel"/>
    <w:tmpl w:val="82825C8C"/>
    <w:lvl w:ilvl="0">
      <w:start w:val="1"/>
      <w:numFmt w:val="decimal"/>
      <w:lvlText w:val="%1."/>
      <w:lvlJc w:val="left"/>
      <w:pPr>
        <w:ind w:left="139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308" w:hanging="360"/>
      </w:pPr>
    </w:lvl>
    <w:lvl w:ilvl="2">
      <w:numFmt w:val="bullet"/>
      <w:lvlText w:val="•"/>
      <w:lvlJc w:val="left"/>
      <w:pPr>
        <w:ind w:left="3216" w:hanging="360"/>
      </w:pPr>
    </w:lvl>
    <w:lvl w:ilvl="3">
      <w:numFmt w:val="bullet"/>
      <w:lvlText w:val="•"/>
      <w:lvlJc w:val="left"/>
      <w:pPr>
        <w:ind w:left="4124" w:hanging="360"/>
      </w:pPr>
    </w:lvl>
    <w:lvl w:ilvl="4">
      <w:numFmt w:val="bullet"/>
      <w:lvlText w:val="•"/>
      <w:lvlJc w:val="left"/>
      <w:pPr>
        <w:ind w:left="50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848" w:hanging="360"/>
      </w:pPr>
    </w:lvl>
    <w:lvl w:ilvl="7">
      <w:numFmt w:val="bullet"/>
      <w:lvlText w:val="•"/>
      <w:lvlJc w:val="left"/>
      <w:pPr>
        <w:ind w:left="7756" w:hanging="360"/>
      </w:pPr>
    </w:lvl>
    <w:lvl w:ilvl="8">
      <w:numFmt w:val="bullet"/>
      <w:lvlText w:val="•"/>
      <w:lvlJc w:val="left"/>
      <w:pPr>
        <w:ind w:left="8664" w:hanging="360"/>
      </w:pPr>
    </w:lvl>
  </w:abstractNum>
  <w:abstractNum w:abstractNumId="15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7" w15:restartNumberingAfterBreak="0">
    <w:nsid w:val="6B614053"/>
    <w:multiLevelType w:val="multilevel"/>
    <w:tmpl w:val="DEC82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47D2970"/>
    <w:multiLevelType w:val="multilevel"/>
    <w:tmpl w:val="CFBC136E"/>
    <w:lvl w:ilvl="0">
      <w:start w:val="1"/>
      <w:numFmt w:val="decimal"/>
      <w:lvlText w:val="%1."/>
      <w:lvlJc w:val="left"/>
      <w:pPr>
        <w:ind w:left="139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34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232" w:hanging="360"/>
      </w:pPr>
    </w:lvl>
    <w:lvl w:ilvl="4">
      <w:numFmt w:val="bullet"/>
      <w:lvlText w:val="•"/>
      <w:lvlJc w:val="left"/>
      <w:pPr>
        <w:ind w:left="5176" w:hanging="360"/>
      </w:pPr>
    </w:lvl>
    <w:lvl w:ilvl="5">
      <w:numFmt w:val="bullet"/>
      <w:lvlText w:val="•"/>
      <w:lvlJc w:val="left"/>
      <w:pPr>
        <w:ind w:left="6120" w:hanging="360"/>
      </w:pPr>
    </w:lvl>
    <w:lvl w:ilvl="6">
      <w:numFmt w:val="bullet"/>
      <w:lvlText w:val="•"/>
      <w:lvlJc w:val="left"/>
      <w:pPr>
        <w:ind w:left="7064" w:hanging="360"/>
      </w:pPr>
    </w:lvl>
    <w:lvl w:ilvl="7">
      <w:numFmt w:val="bullet"/>
      <w:lvlText w:val="•"/>
      <w:lvlJc w:val="left"/>
      <w:pPr>
        <w:ind w:left="8008" w:hanging="360"/>
      </w:pPr>
    </w:lvl>
    <w:lvl w:ilvl="8">
      <w:numFmt w:val="bullet"/>
      <w:lvlText w:val="•"/>
      <w:lvlJc w:val="left"/>
      <w:pPr>
        <w:ind w:left="8952" w:hanging="360"/>
      </w:pPr>
    </w:lvl>
  </w:abstractNum>
  <w:abstractNum w:abstractNumId="19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9"/>
  </w:num>
  <w:num w:numId="2" w16cid:durableId="856188501">
    <w:abstractNumId w:val="12"/>
  </w:num>
  <w:num w:numId="3" w16cid:durableId="705562427">
    <w:abstractNumId w:val="19"/>
  </w:num>
  <w:num w:numId="4" w16cid:durableId="431122126">
    <w:abstractNumId w:val="16"/>
  </w:num>
  <w:num w:numId="5" w16cid:durableId="789132933">
    <w:abstractNumId w:val="3"/>
  </w:num>
  <w:num w:numId="6" w16cid:durableId="1506170426">
    <w:abstractNumId w:val="1"/>
  </w:num>
  <w:num w:numId="7" w16cid:durableId="1547835246">
    <w:abstractNumId w:val="13"/>
  </w:num>
  <w:num w:numId="8" w16cid:durableId="435096703">
    <w:abstractNumId w:val="5"/>
  </w:num>
  <w:num w:numId="9" w16cid:durableId="116216547">
    <w:abstractNumId w:val="4"/>
  </w:num>
  <w:num w:numId="10" w16cid:durableId="1475026833">
    <w:abstractNumId w:val="2"/>
  </w:num>
  <w:num w:numId="11" w16cid:durableId="1183781327">
    <w:abstractNumId w:val="6"/>
  </w:num>
  <w:num w:numId="12" w16cid:durableId="490826747">
    <w:abstractNumId w:val="15"/>
  </w:num>
  <w:num w:numId="13" w16cid:durableId="187107005">
    <w:abstractNumId w:val="8"/>
  </w:num>
  <w:num w:numId="14" w16cid:durableId="1831368088">
    <w:abstractNumId w:val="10"/>
  </w:num>
  <w:num w:numId="15" w16cid:durableId="1558200475">
    <w:abstractNumId w:val="11"/>
  </w:num>
  <w:num w:numId="16" w16cid:durableId="976106258">
    <w:abstractNumId w:val="17"/>
  </w:num>
  <w:num w:numId="17" w16cid:durableId="2067412749">
    <w:abstractNumId w:val="0"/>
  </w:num>
  <w:num w:numId="18" w16cid:durableId="1643806323">
    <w:abstractNumId w:val="7"/>
  </w:num>
  <w:num w:numId="19" w16cid:durableId="189538227">
    <w:abstractNumId w:val="18"/>
  </w:num>
  <w:num w:numId="20" w16cid:durableId="11551424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630FA"/>
    <w:rsid w:val="000946A4"/>
    <w:rsid w:val="000972A2"/>
    <w:rsid w:val="000A473F"/>
    <w:rsid w:val="000A4C80"/>
    <w:rsid w:val="000A7FD8"/>
    <w:rsid w:val="000D1395"/>
    <w:rsid w:val="000F1470"/>
    <w:rsid w:val="00100931"/>
    <w:rsid w:val="00184E6E"/>
    <w:rsid w:val="00187FB4"/>
    <w:rsid w:val="001A43A8"/>
    <w:rsid w:val="001C0549"/>
    <w:rsid w:val="001E5718"/>
    <w:rsid w:val="0021150C"/>
    <w:rsid w:val="002753BE"/>
    <w:rsid w:val="00275570"/>
    <w:rsid w:val="0027720C"/>
    <w:rsid w:val="00283D33"/>
    <w:rsid w:val="002B1A31"/>
    <w:rsid w:val="002D3479"/>
    <w:rsid w:val="00302EBD"/>
    <w:rsid w:val="003148A4"/>
    <w:rsid w:val="003214A6"/>
    <w:rsid w:val="00332901"/>
    <w:rsid w:val="0036304D"/>
    <w:rsid w:val="003A584C"/>
    <w:rsid w:val="00420C47"/>
    <w:rsid w:val="00425560"/>
    <w:rsid w:val="00445AE1"/>
    <w:rsid w:val="004D5AFB"/>
    <w:rsid w:val="004E62EB"/>
    <w:rsid w:val="0059419A"/>
    <w:rsid w:val="005C4ABE"/>
    <w:rsid w:val="005D53C2"/>
    <w:rsid w:val="006371A3"/>
    <w:rsid w:val="00637218"/>
    <w:rsid w:val="00685C90"/>
    <w:rsid w:val="0069768D"/>
    <w:rsid w:val="006B79BF"/>
    <w:rsid w:val="006C14F9"/>
    <w:rsid w:val="006D0620"/>
    <w:rsid w:val="006E700A"/>
    <w:rsid w:val="006F4896"/>
    <w:rsid w:val="0075450E"/>
    <w:rsid w:val="00791931"/>
    <w:rsid w:val="00802073"/>
    <w:rsid w:val="0087181C"/>
    <w:rsid w:val="008F7E36"/>
    <w:rsid w:val="00992873"/>
    <w:rsid w:val="009A41F6"/>
    <w:rsid w:val="00A04886"/>
    <w:rsid w:val="00A6246E"/>
    <w:rsid w:val="00A809CF"/>
    <w:rsid w:val="00A91A6D"/>
    <w:rsid w:val="00AD3578"/>
    <w:rsid w:val="00AF56E5"/>
    <w:rsid w:val="00B27EC6"/>
    <w:rsid w:val="00B35852"/>
    <w:rsid w:val="00B42E25"/>
    <w:rsid w:val="00B5210D"/>
    <w:rsid w:val="00B5702A"/>
    <w:rsid w:val="00B660CB"/>
    <w:rsid w:val="00BA185B"/>
    <w:rsid w:val="00BB1C78"/>
    <w:rsid w:val="00BB5DFB"/>
    <w:rsid w:val="00BD0ABA"/>
    <w:rsid w:val="00BE0DE4"/>
    <w:rsid w:val="00C0407B"/>
    <w:rsid w:val="00C117DF"/>
    <w:rsid w:val="00CD2035"/>
    <w:rsid w:val="00D171B0"/>
    <w:rsid w:val="00D36093"/>
    <w:rsid w:val="00D45F75"/>
    <w:rsid w:val="00D65B18"/>
    <w:rsid w:val="00D94B5D"/>
    <w:rsid w:val="00DD1A1A"/>
    <w:rsid w:val="00DF78DC"/>
    <w:rsid w:val="00E061CF"/>
    <w:rsid w:val="00E60BB6"/>
    <w:rsid w:val="00E66F14"/>
    <w:rsid w:val="00E778F7"/>
    <w:rsid w:val="00EA262C"/>
    <w:rsid w:val="00EA75A1"/>
    <w:rsid w:val="00F03A82"/>
    <w:rsid w:val="00F33B7B"/>
    <w:rsid w:val="00F36A09"/>
    <w:rsid w:val="00F524F0"/>
    <w:rsid w:val="00F57893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2</cp:revision>
  <dcterms:created xsi:type="dcterms:W3CDTF">2023-06-28T21:37:00Z</dcterms:created>
  <dcterms:modified xsi:type="dcterms:W3CDTF">2023-06-28T21:37:00Z</dcterms:modified>
</cp:coreProperties>
</file>